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eastAsia" w:ascii="方正小标宋简体" w:hAnsi="Times New Roman" w:eastAsia="方正小标宋简体"/>
          <w:sz w:val="48"/>
          <w:szCs w:val="48"/>
          <w:lang w:val="en-US" w:eastAsia="zh-CN"/>
        </w:rPr>
        <w:t>1</w:t>
      </w:r>
      <w:r>
        <w:rPr>
          <w:rFonts w:hint="eastAsia" w:ascii="方正小标宋简体" w:hAnsi="Times New Roman" w:eastAsia="方正小标宋简体"/>
          <w:sz w:val="48"/>
          <w:szCs w:val="48"/>
        </w:rPr>
        <w:t>年度部门整体支出绩效自评报告</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hint="eastAsia" w:ascii="Times New Roman" w:hAnsi="Times New Roman"/>
          <w:sz w:val="36"/>
          <w:szCs w:val="36"/>
          <w:lang w:eastAsia="zh-CN"/>
        </w:rPr>
      </w:pPr>
      <w:r>
        <w:rPr>
          <w:rFonts w:hint="eastAsia" w:ascii="Times New Roman" w:hAnsi="Times New Roman"/>
          <w:sz w:val="36"/>
          <w:szCs w:val="36"/>
        </w:rPr>
        <w:t>单位名称：</w:t>
      </w:r>
      <w:r>
        <w:rPr>
          <w:rFonts w:hint="eastAsia" w:ascii="Times New Roman" w:hAnsi="Times New Roman"/>
          <w:sz w:val="36"/>
          <w:szCs w:val="36"/>
          <w:lang w:eastAsia="zh-CN"/>
        </w:rPr>
        <w:t>衡阳市青少年宫</w:t>
      </w:r>
    </w:p>
    <w:p>
      <w:pPr>
        <w:jc w:val="center"/>
        <w:rPr>
          <w:rFonts w:hint="eastAsia" w:ascii="Times New Roman" w:hAnsi="Times New Roman"/>
          <w:sz w:val="36"/>
          <w:szCs w:val="36"/>
        </w:rPr>
      </w:pPr>
      <w:r>
        <w:rPr>
          <w:rFonts w:hint="eastAsia" w:ascii="Times New Roman" w:hAnsi="Times New Roman"/>
          <w:sz w:val="36"/>
          <w:szCs w:val="36"/>
        </w:rPr>
        <w:t>（单位公章）</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2022</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5</w:t>
      </w:r>
      <w:r>
        <w:rPr>
          <w:rFonts w:ascii="Times New Roman" w:hAnsi="Times New Roman" w:eastAsia="黑体"/>
          <w:sz w:val="32"/>
          <w:szCs w:val="32"/>
        </w:rPr>
        <w:t xml:space="preserve"> </w:t>
      </w:r>
      <w:r>
        <w:rPr>
          <w:rFonts w:hint="eastAsia" w:ascii="Times New Roman" w:hAnsi="Times New Roman" w:eastAsia="黑体"/>
          <w:sz w:val="32"/>
          <w:szCs w:val="32"/>
        </w:rPr>
        <w:t>月</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30</w:t>
      </w:r>
      <w:r>
        <w:rPr>
          <w:rFonts w:ascii="Times New Roman" w:hAnsi="Times New Roman" w:eastAsia="黑体"/>
          <w:sz w:val="32"/>
          <w:szCs w:val="32"/>
        </w:rPr>
        <w:t xml:space="preserve"> </w:t>
      </w:r>
      <w:r>
        <w:rPr>
          <w:rFonts w:hint="eastAsia" w:ascii="Times New Roman" w:hAnsi="Times New Roman" w:eastAsia="黑体"/>
          <w:sz w:val="32"/>
          <w:szCs w:val="32"/>
        </w:rPr>
        <w:t>日</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hint="eastAsia"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小标宋_GBK" w:cs="Times New Roman"/>
          <w:sz w:val="32"/>
          <w:szCs w:val="32"/>
        </w:rPr>
      </w:pP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单位基本</w:t>
      </w:r>
      <w:r>
        <w:rPr>
          <w:rFonts w:hint="default" w:ascii="Times New Roman" w:hAnsi="Times New Roman" w:eastAsia="黑体" w:cs="Times New Roman"/>
          <w:sz w:val="32"/>
          <w:szCs w:val="32"/>
          <w:lang w:val="en-US" w:eastAsia="zh-CN"/>
        </w:rPr>
        <w:t>概况</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基本情况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衡阳市青少年宫为团市委所属正科级公益二类差额拨款事业单位</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部门职能职责</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承办青少年思想道德、科技教育、文化艺术、康乐健身、社会实践等校外教育、培训活动;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组织青少年开展对外文化交流活动;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协调组织全市少先队和青少年社团开展各类社会活动;</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承办团市委交办的其他的工作。</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机构人员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市青少年宫共设置11个工作部门、1个非常设机构和3个群团部门。工作部门分别为：办公室、党建人事部、财务部、物业部、宣传活动部、教务部、艺术部、文学与思维训练部、体育科技部、艺术幼儿园、高新分部。非常设机构为市青少年活动中心建设办公室。工会、共青团、妇委会按有关章程及规定进行设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2021年本单位年末实有人数94人，其中核定事业编制70人，实际在编36人；在职人员58人。比上年变动了减少4人。人员变化的主要原因是：</w:t>
      </w:r>
      <w:r>
        <w:rPr>
          <w:rFonts w:hint="default" w:ascii="Times New Roman" w:hAnsi="Times New Roman" w:eastAsia="仿宋_GB2312" w:cs="Times New Roman"/>
          <w:color w:val="auto"/>
          <w:sz w:val="32"/>
          <w:szCs w:val="32"/>
        </w:rPr>
        <w:t>在职退休1人，在职离职2人员，在编去世1人</w:t>
      </w:r>
      <w:r>
        <w:rPr>
          <w:rFonts w:hint="default" w:ascii="Times New Roman" w:hAnsi="Times New Roman" w:eastAsia="仿宋_GB2312" w:cs="Times New Roman"/>
          <w:color w:val="auto"/>
          <w:sz w:val="32"/>
          <w:szCs w:val="32"/>
          <w:lang w:val="en-US" w:eastAsia="zh-CN"/>
        </w:rPr>
        <w:t>。</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2021年度工作目标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“一条主线”</w:t>
      </w:r>
      <w:r>
        <w:rPr>
          <w:rFonts w:hint="default" w:ascii="Times New Roman" w:hAnsi="Times New Roman" w:eastAsia="仿宋_GB2312" w:cs="Times New Roman"/>
          <w:sz w:val="32"/>
          <w:szCs w:val="32"/>
          <w:highlight w:val="none"/>
        </w:rPr>
        <w:t>：即</w:t>
      </w:r>
      <w:r>
        <w:rPr>
          <w:rFonts w:hint="default" w:ascii="Times New Roman" w:hAnsi="Times New Roman" w:eastAsia="仿宋_GB2312" w:cs="Times New Roman"/>
          <w:sz w:val="32"/>
          <w:szCs w:val="32"/>
        </w:rPr>
        <w:t>把纪念建党100周年和全面建成小康社会宣传教育工作，作为全年工作的主线，开展形式多样的主题教育活动。通过红色之旅、文艺展演、作文竞赛、书画比赛、故事会、主题交流等形式，引领青少年坚定“听党话、跟党走”</w:t>
      </w:r>
      <w:r>
        <w:rPr>
          <w:rFonts w:hint="default" w:ascii="Times New Roman" w:hAnsi="Times New Roman" w:eastAsia="仿宋_GB2312" w:cs="Times New Roman"/>
          <w:sz w:val="32"/>
          <w:szCs w:val="32"/>
          <w:highlight w:val="none"/>
        </w:rPr>
        <w:t>的理想</w:t>
      </w:r>
      <w:r>
        <w:rPr>
          <w:rFonts w:hint="default" w:ascii="Times New Roman" w:hAnsi="Times New Roman" w:eastAsia="仿宋_GB2312" w:cs="Times New Roman"/>
          <w:sz w:val="32"/>
          <w:szCs w:val="32"/>
        </w:rPr>
        <w:t>信念。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“一个中心”</w:t>
      </w:r>
      <w:r>
        <w:rPr>
          <w:rFonts w:hint="default" w:ascii="Times New Roman" w:hAnsi="Times New Roman" w:eastAsia="仿宋_GB2312" w:cs="Times New Roman"/>
          <w:sz w:val="32"/>
          <w:szCs w:val="32"/>
          <w:highlight w:val="none"/>
        </w:rPr>
        <w:t>：即</w:t>
      </w:r>
      <w:r>
        <w:rPr>
          <w:rFonts w:hint="default" w:ascii="Times New Roman" w:hAnsi="Times New Roman" w:eastAsia="仿宋_GB2312" w:cs="Times New Roman"/>
          <w:sz w:val="32"/>
          <w:szCs w:val="32"/>
        </w:rPr>
        <w:t>建设好青少年活动中心。</w:t>
      </w:r>
      <w:r>
        <w:rPr>
          <w:rFonts w:hint="default" w:ascii="Times New Roman" w:hAnsi="Times New Roman" w:eastAsia="仿宋_GB2312" w:cs="Times New Roman"/>
          <w:color w:val="000000"/>
          <w:sz w:val="32"/>
          <w:szCs w:val="32"/>
        </w:rPr>
        <w:t>要科学合理做好运营筹备工作，运营方面，就发展规划、机构设置与人员配备、活动与培训项目设置、运营方式、物业管理等作出合理部署；在筹备</w:t>
      </w:r>
      <w:r>
        <w:rPr>
          <w:rFonts w:hint="default" w:ascii="Times New Roman" w:hAnsi="Times New Roman" w:eastAsia="仿宋_GB2312" w:cs="Times New Roman"/>
          <w:color w:val="000000"/>
          <w:sz w:val="32"/>
          <w:szCs w:val="32"/>
          <w:lang w:eastAsia="zh-CN"/>
        </w:rPr>
        <w:t>开放</w:t>
      </w:r>
      <w:r>
        <w:rPr>
          <w:rFonts w:hint="default" w:ascii="Times New Roman" w:hAnsi="Times New Roman" w:eastAsia="仿宋_GB2312" w:cs="Times New Roman"/>
          <w:color w:val="000000"/>
          <w:sz w:val="32"/>
          <w:szCs w:val="32"/>
        </w:rPr>
        <w:t>方面，要</w:t>
      </w:r>
      <w:r>
        <w:rPr>
          <w:rFonts w:hint="default" w:ascii="Times New Roman" w:hAnsi="Times New Roman" w:eastAsia="仿宋_GB2312" w:cs="Times New Roman"/>
          <w:sz w:val="32"/>
          <w:szCs w:val="32"/>
        </w:rPr>
        <w:t>综合协调场馆运营、人才引进与培训、品牌营销、活动策划、材料宣传、后勤保障等工作小组，负责落实中心开放各项筹备工作。集中采购专业设施设备，招聘相关专业人员。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rPr>
        <w:t>“四项重点”</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一是素质培训。</w:t>
      </w:r>
      <w:r>
        <w:rPr>
          <w:rFonts w:hint="default" w:ascii="Times New Roman" w:hAnsi="Times New Roman" w:eastAsia="仿宋_GB2312" w:cs="Times New Roman"/>
          <w:sz w:val="32"/>
          <w:szCs w:val="32"/>
        </w:rPr>
        <w:t>2021年素质培训目标是培训总人数超过至2017</w:t>
      </w:r>
      <w:r>
        <w:rPr>
          <w:rFonts w:hint="default" w:ascii="Times New Roman" w:hAnsi="Times New Roman" w:eastAsia="仿宋_GB2312" w:cs="Times New Roman"/>
          <w:sz w:val="32"/>
          <w:szCs w:val="32"/>
          <w:highlight w:val="none"/>
        </w:rPr>
        <w:t>-2019年</w:t>
      </w:r>
      <w:r>
        <w:rPr>
          <w:rFonts w:hint="default" w:ascii="Times New Roman" w:hAnsi="Times New Roman" w:eastAsia="仿宋_GB2312" w:cs="Times New Roman"/>
          <w:sz w:val="32"/>
          <w:szCs w:val="32"/>
        </w:rPr>
        <w:t>三年平均水平。主要措施是：落实中共中央国务院《关于深化新时代教育评价改革总体方案》要求，探索建立校外</w:t>
      </w:r>
      <w:r>
        <w:rPr>
          <w:rFonts w:hint="default" w:ascii="Times New Roman" w:hAnsi="Times New Roman" w:eastAsia="仿宋_GB2312" w:cs="Times New Roman"/>
          <w:sz w:val="32"/>
          <w:szCs w:val="32"/>
          <w:lang w:eastAsia="zh-CN"/>
        </w:rPr>
        <w:t>教育质量</w:t>
      </w:r>
      <w:r>
        <w:rPr>
          <w:rFonts w:hint="default" w:ascii="Times New Roman" w:hAnsi="Times New Roman" w:eastAsia="仿宋_GB2312" w:cs="Times New Roman"/>
          <w:sz w:val="32"/>
          <w:szCs w:val="32"/>
        </w:rPr>
        <w:t>评价体系，继续推进教育质量提升工程。深化课程设置改革，在保持核心课程、主体课程的基础上，结合市场需求和专业发展需要，推出更多交叉课程、“短平快”课程。创新运营方式，推进合作运营项目落地。引进中国宫协体智能项目，补齐体育类教育培训项目短板，</w:t>
      </w:r>
      <w:r>
        <w:rPr>
          <w:rFonts w:hint="default" w:ascii="Times New Roman" w:hAnsi="Times New Roman" w:eastAsia="仿宋_GB2312" w:cs="Times New Roman"/>
          <w:color w:val="000000"/>
          <w:sz w:val="32"/>
          <w:szCs w:val="32"/>
        </w:rPr>
        <w:t>争取机器人考级项目落地。要大力拓展课后服务工作。</w:t>
      </w:r>
      <w:r>
        <w:rPr>
          <w:rFonts w:hint="eastAsia"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sz w:val="32"/>
          <w:szCs w:val="32"/>
        </w:rPr>
        <w:t>二是青少年社团。</w:t>
      </w:r>
      <w:r>
        <w:rPr>
          <w:rFonts w:hint="default" w:ascii="Times New Roman" w:hAnsi="Times New Roman" w:eastAsia="仿宋_GB2312" w:cs="Times New Roman"/>
          <w:sz w:val="32"/>
          <w:szCs w:val="32"/>
        </w:rPr>
        <w:t>重点抓好雏雁志愿者服务总队、艺术团、书画院、文学社的建设工作，实行“一个社团、一名主任室成员、一套方案、一批骨干教师”的工作机制，</w:t>
      </w:r>
      <w:r>
        <w:rPr>
          <w:rFonts w:hint="default" w:ascii="Times New Roman" w:hAnsi="Times New Roman" w:eastAsia="仿宋_GB2312" w:cs="Times New Roman"/>
          <w:color w:val="000000"/>
          <w:sz w:val="32"/>
          <w:szCs w:val="32"/>
        </w:rPr>
        <w:t>全力以赴做好“小荷风采”全国少儿舞蹈展演、中国青少年宫艺术节、全省少儿才艺大赛、省市“三独”比赛等活动，巩固好青少年宫的品牌内涵。</w:t>
      </w:r>
      <w:r>
        <w:rPr>
          <w:rFonts w:hint="default" w:ascii="Times New Roman" w:hAnsi="Times New Roman" w:eastAsia="仿宋_GB2312" w:cs="Times New Roman"/>
          <w:b/>
          <w:bCs/>
          <w:sz w:val="32"/>
          <w:szCs w:val="32"/>
        </w:rPr>
        <w:t>三是队伍建设。</w:t>
      </w:r>
      <w:r>
        <w:rPr>
          <w:rFonts w:hint="default" w:ascii="Times New Roman" w:hAnsi="Times New Roman" w:eastAsia="仿宋_GB2312" w:cs="Times New Roman"/>
          <w:sz w:val="32"/>
          <w:szCs w:val="32"/>
        </w:rPr>
        <w:t>落实全面从严治党责任，深化和巩固巡察整改要求，加强内部管理，</w:t>
      </w:r>
      <w:r>
        <w:rPr>
          <w:rFonts w:hint="default" w:ascii="Times New Roman" w:hAnsi="Times New Roman" w:eastAsia="仿宋_GB2312" w:cs="Times New Roman"/>
          <w:color w:val="000000"/>
          <w:sz w:val="32"/>
          <w:szCs w:val="32"/>
        </w:rPr>
        <w:t>不断提升干部职工队伍的政治意识、纪律意识、规矩意识、奉献意识。加大人才队伍建设力度，把教师队伍建设摆在发展的第一位置，结合青少年活动中心开放运营引进一批优秀专业教师，通过外派学习培训、岗位练兵等方式提升队伍综合素质，支持教师晋升学历、职称，支持教师成为专业协会、学会会员。改进完善合同制人员聘用管理制度，不断激发队伍活力。</w:t>
      </w:r>
      <w:r>
        <w:rPr>
          <w:rFonts w:hint="default" w:ascii="Times New Roman" w:hAnsi="Times New Roman" w:eastAsia="仿宋_GB2312" w:cs="Times New Roman"/>
          <w:b/>
          <w:bCs/>
          <w:sz w:val="32"/>
          <w:szCs w:val="32"/>
        </w:rPr>
        <w:t>四是文明创建。</w:t>
      </w:r>
      <w:r>
        <w:rPr>
          <w:rFonts w:hint="default" w:ascii="Times New Roman" w:hAnsi="Times New Roman" w:eastAsia="仿宋_GB2312" w:cs="Times New Roman"/>
          <w:sz w:val="32"/>
          <w:szCs w:val="32"/>
        </w:rPr>
        <w:t>以创建全国文明城市样板建设为龙头，进一步升级青宫大院设施设备，加强物业管理，优化内外环境，加强综合治理，建设文明单位、美丽青宫。</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2021年度市青少年宫一般公共预算财政拨款支出854.28万元，全部为基本支出。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一般公共预算支出854.28万元按经济分类为工资福利支出640.51万元，商品和服务支出89.51万元，对个人和家庭的补助39.85万元，资本性支出84.41万元。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（一）基本支出情况</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2021年初预算批复的一般公共预算财政拨款基本支出492.43万元，调增361.85万元（占年初预算批复数的73.48 %），调整后2021年度一般公共预算支出854.28万元按经济分类为工资福利支出640.51万元，商品和服务支出89.51万元，对个人和家庭的补助39.85万元，资本性支出84.41万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五、社会保险基金预算支出情况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评价采用三级细化指标评分，从部门整体支出的投入情况、过程管理、产出与效果等维度的绩效指标分析出发，通过定性与定量相结合的方式，综合考察2021年度部门整体支出资金使用效益及部门职能职责履行情况等，得出绩效评价综合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（一）投入情况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分别“目标设定”“预算配置”2个二级指标；绩效目标合理性、绩效指标明确性、在职人员控制率、“三公经费”变动率、重点支出安排率等5个三级指标进行评价。主要评价市青少年宫的绩效目标设置是否指向明确、具体细化、合理可行；预算配置是否符合财政部门相关要求；人员配置是否合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目标设定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本单位是二级预算单位，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第一次设定</w:t>
      </w:r>
      <w:r>
        <w:rPr>
          <w:rFonts w:hint="default" w:ascii="Times New Roman" w:hAnsi="Times New Roman" w:eastAsia="仿宋_GB2312" w:cs="Times New Roman"/>
          <w:color w:val="auto"/>
          <w:sz w:val="32"/>
          <w:szCs w:val="32"/>
        </w:rPr>
        <w:t>整体</w:t>
      </w:r>
      <w:r>
        <w:rPr>
          <w:rFonts w:hint="default" w:ascii="Times New Roman" w:hAnsi="Times New Roman" w:eastAsia="仿宋_GB2312" w:cs="Times New Roman"/>
          <w:color w:val="auto"/>
          <w:sz w:val="32"/>
          <w:szCs w:val="32"/>
          <w:lang w:val="en-US" w:eastAsia="zh-CN"/>
        </w:rPr>
        <w:t>支出</w:t>
      </w:r>
      <w:r>
        <w:rPr>
          <w:rFonts w:hint="default" w:ascii="Times New Roman" w:hAnsi="Times New Roman" w:eastAsia="仿宋_GB2312" w:cs="Times New Roman"/>
          <w:color w:val="auto"/>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预算配置</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①</w:t>
      </w:r>
      <w:r>
        <w:rPr>
          <w:rFonts w:hint="default" w:ascii="Times New Roman" w:hAnsi="Times New Roman" w:eastAsia="仿宋_GB2312" w:cs="Times New Roman"/>
          <w:b w:val="0"/>
          <w:bCs w:val="0"/>
          <w:color w:val="auto"/>
          <w:sz w:val="32"/>
          <w:szCs w:val="32"/>
        </w:rPr>
        <w:t>在职人员控制率：</w:t>
      </w:r>
      <w:r>
        <w:rPr>
          <w:rFonts w:hint="default" w:ascii="Times New Roman" w:hAnsi="Times New Roman" w:eastAsia="仿宋_GB2312" w:cs="Times New Roman"/>
          <w:b w:val="0"/>
          <w:bCs w:val="0"/>
          <w:color w:val="auto"/>
          <w:sz w:val="32"/>
          <w:szCs w:val="32"/>
          <w:lang w:val="en-US" w:eastAsia="zh-CN"/>
        </w:rPr>
        <w:t>2021年度编制数为6</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名，截止2021年12月31日，实际在编36人，空编</w:t>
      </w:r>
      <w:r>
        <w:rPr>
          <w:rFonts w:hint="eastAsia" w:ascii="Times New Roman" w:hAnsi="Times New Roman" w:eastAsia="仿宋_GB2312" w:cs="Times New Roman"/>
          <w:b w:val="0"/>
          <w:bCs w:val="0"/>
          <w:color w:val="auto"/>
          <w:sz w:val="32"/>
          <w:szCs w:val="32"/>
          <w:lang w:val="en-US" w:eastAsia="zh-CN"/>
        </w:rPr>
        <w:t>33</w:t>
      </w:r>
      <w:r>
        <w:rPr>
          <w:rFonts w:hint="default" w:ascii="Times New Roman" w:hAnsi="Times New Roman" w:eastAsia="仿宋_GB2312" w:cs="Times New Roman"/>
          <w:b w:val="0"/>
          <w:bCs w:val="0"/>
          <w:color w:val="auto"/>
          <w:sz w:val="32"/>
          <w:szCs w:val="32"/>
          <w:lang w:val="en-US" w:eastAsia="zh-CN"/>
        </w:rPr>
        <w:t>个。在职人员控制率为52.94%，编制节余。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②</w:t>
      </w:r>
      <w:r>
        <w:rPr>
          <w:rFonts w:hint="eastAsia" w:ascii="仿宋_GB2312" w:hAnsi="仿宋_GB2312" w:eastAsia="仿宋_GB2312" w:cs="仿宋_GB2312"/>
          <w:color w:val="auto"/>
          <w:sz w:val="32"/>
          <w:szCs w:val="32"/>
        </w:rPr>
        <w:t>“三公经费”变动率：</w:t>
      </w:r>
      <w:r>
        <w:rPr>
          <w:rFonts w:hint="eastAsia" w:ascii="仿宋_GB2312" w:hAnsi="仿宋_GB2312" w:eastAsia="仿宋_GB2312" w:cs="仿宋_GB2312"/>
          <w:color w:val="auto"/>
          <w:sz w:val="32"/>
          <w:szCs w:val="32"/>
          <w:lang w:val="en-US" w:eastAsia="zh-CN"/>
        </w:rPr>
        <w:t>财政预算未安排“三公经费”，财政预算资金未发生“三公经费”支出。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③重点支出安排率：</w:t>
      </w:r>
      <w:r>
        <w:rPr>
          <w:rFonts w:hint="default" w:ascii="Times New Roman" w:hAnsi="Times New Roman" w:eastAsia="仿宋_GB2312" w:cs="Times New Roman"/>
          <w:b w:val="0"/>
          <w:bCs w:val="0"/>
          <w:color w:val="auto"/>
          <w:sz w:val="32"/>
          <w:szCs w:val="32"/>
          <w:lang w:val="en-US" w:eastAsia="zh-CN"/>
        </w:rPr>
        <w:t>2021年无团市委安排的重点工作。</w:t>
      </w:r>
    </w:p>
    <w:p>
      <w:pPr>
        <w:keepNext w:val="0"/>
        <w:keepLines w:val="0"/>
        <w:pageBreakBefore w:val="0"/>
        <w:widowControl w:val="0"/>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（二）过程情况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分“预算执行”“预算管理”“资产管理”3个二级指标；预算完成率、预算调整率、支付进度率、结转结余变动率、公用经费控制率、“三公经费”控制率、政府采购节资率、政府采购执行率、管理制度健全性、资金使用合规性、预决算信息公开性、基础信息完善性、管理制度健全性、资产管理安全性、固定资产利用率15个三级指标进行评价。主要评价预算执行过程中相关管理制度是否建立健全；各项制度和预算是否得到有效执行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FF0000"/>
          <w:sz w:val="32"/>
          <w:szCs w:val="32"/>
          <w:lang w:val="en-US" w:eastAsia="zh-CN"/>
        </w:rPr>
        <w:t>1.预算执行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①预算完成率：2021年初经费拨款结转和结余386.83万元，年初预算492.43万元，年中追加金额349.24万元，年末结转和结余384.22万元，预算完成率68.72%，完成率一般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②预算调整率：2021年初经批复的预算数492.43万元，年中调整数金额841.67万元，预算调整率41.49%。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③结转结余变动率：2021年初结转结余资金386.83万元，年末结转结余资金384.22万元。结转结余变动率-0.67%。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④公用经费控制率：202</w:t>
      </w:r>
      <w:r>
        <w:rPr>
          <w:rFonts w:hint="eastAsia" w:ascii="Times New Roman" w:hAnsi="Times New Roman" w:eastAsia="仿宋_GB2312" w:cs="Times New Roman"/>
          <w:color w:val="auto"/>
          <w:sz w:val="32"/>
          <w:szCs w:val="32"/>
          <w:lang w:val="en-US" w:eastAsia="zh-CN"/>
        </w:rPr>
        <w:t>1</w:t>
      </w:r>
      <w:bookmarkStart w:id="2" w:name="_GoBack"/>
      <w:bookmarkEnd w:id="2"/>
      <w:r>
        <w:rPr>
          <w:rFonts w:hint="default" w:ascii="Times New Roman" w:hAnsi="Times New Roman" w:eastAsia="仿宋_GB2312" w:cs="Times New Roman"/>
          <w:color w:val="auto"/>
          <w:sz w:val="32"/>
          <w:szCs w:val="32"/>
          <w:lang w:val="en-US" w:eastAsia="zh-CN"/>
        </w:rPr>
        <w:t>年度公用经费预算数86.13万元，实际数173.92万元，公用经费控制率201.93%，公用经费控制一般。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⑤“三公经费”控制率：财政预算未安排“三公经费”，财政预算资金未发生“三公经费”支出。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2.预算管理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①管理制度健全性：</w:t>
      </w:r>
      <w:r>
        <w:rPr>
          <w:rFonts w:hint="default" w:ascii="Times New Roman" w:hAnsi="Times New Roman" w:eastAsia="仿宋_GB2312" w:cs="Times New Roman"/>
          <w:b w:val="0"/>
          <w:bCs w:val="0"/>
          <w:color w:val="auto"/>
          <w:sz w:val="32"/>
          <w:szCs w:val="32"/>
        </w:rPr>
        <w:t>先后制定了《绩效工资改革实施方案（试行）》《工作人员出国（境）管理办法》《工程建设与维修管理办法》《公车改革后城区公务交通费报销管理办法（试行）》，</w:t>
      </w:r>
      <w:r>
        <w:rPr>
          <w:rFonts w:hint="default" w:ascii="Times New Roman" w:hAnsi="Times New Roman" w:eastAsia="仿宋_GB2312" w:cs="Times New Roman"/>
          <w:b w:val="0"/>
          <w:bCs w:val="0"/>
          <w:color w:val="auto"/>
          <w:sz w:val="32"/>
          <w:szCs w:val="32"/>
          <w:lang w:eastAsia="zh-CN"/>
        </w:rPr>
        <w:t>完善</w:t>
      </w:r>
      <w:r>
        <w:rPr>
          <w:rFonts w:hint="default" w:ascii="Times New Roman" w:hAnsi="Times New Roman" w:eastAsia="仿宋_GB2312" w:cs="Times New Roman"/>
          <w:b w:val="0"/>
          <w:bCs w:val="0"/>
          <w:color w:val="auto"/>
          <w:sz w:val="32"/>
          <w:szCs w:val="32"/>
        </w:rPr>
        <w:t>了《工作纪律制度》，强化制度执行力，不断规范内部管理。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②资金使用合规性：按国家规定使用资金。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③预决算信息公开性：按要求编制并公开了2021年度部门预决算信息。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④基础信息完善性：完整准确的对外披露了基础信息和会计信息。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3.资产管理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①管理制度健全性：制定了资产管理制度，建立了资产管理系统，制度中明确了资产的管理部门及管理责任实际操作中基本按照相关制度进行。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②资产管理安全性：资产保存基本完整，资产配置基本合理，账务处理基本规范。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③固定资产利用率：固定资产利用程度较高，基本无闲置资产。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i w:val="0"/>
          <w:iCs w:val="0"/>
          <w:caps w:val="0"/>
          <w:color w:val="auto"/>
          <w:spacing w:val="0"/>
          <w:sz w:val="32"/>
          <w:szCs w:val="32"/>
          <w:shd w:val="clear" w:fill="FFFFFF"/>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（三）产出情况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分别设置“实际完成率”“完成及时率”“品质达标率”“重点工作办结率”等4个三级指标，以评价部门职责的履行情况。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①实际完成率：除疫情影响外，完成了 2021年的工作任务。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②完成及时率：除疫情影响外，在年度工作计划内完成了各项工作。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③质量达标率：组织各项培训活动深受学生及家长好评。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④重点工作办结率：</w:t>
      </w:r>
      <w:r>
        <w:rPr>
          <w:rFonts w:hint="default" w:ascii="Times New Roman" w:hAnsi="Times New Roman" w:eastAsia="仿宋_GB2312" w:cs="Times New Roman"/>
          <w:b/>
          <w:bCs/>
          <w:sz w:val="32"/>
          <w:szCs w:val="32"/>
        </w:rPr>
        <w:t>一是搭建才艺赛事平台。</w:t>
      </w:r>
      <w:r>
        <w:rPr>
          <w:rFonts w:hint="default" w:ascii="Times New Roman" w:hAnsi="Times New Roman" w:eastAsia="仿宋_GB2312" w:cs="Times New Roman"/>
          <w:sz w:val="32"/>
          <w:szCs w:val="32"/>
        </w:rPr>
        <w:t>承办衡阳市少儿才艺大赛、省少儿才艺大赛衡阳选拔赛、“花儿朵朵向太阳”湖南省教育电视台青少年电视才艺展演衡阳选拔赛、“丁玲青少年文学奖”衡阳分赛等活动，所有赛事组织都由青少年宫承担，没有收取任何参赛费用。其中衡阳市少儿才艺大赛，共有一千多名少年儿童参加了现场比赛，从2000多件少儿文艺作品（节目）中选拔600余个作品（节目）参加湖南省第十一届少儿才艺大赛总决赛。举办“学党史 强信念 跟党走”“奋斗吧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少年”两场教学成果汇报演出活动，为全市青少年展示自我、学习交流提供平台。</w:t>
      </w:r>
      <w:r>
        <w:rPr>
          <w:rFonts w:hint="default" w:ascii="Times New Roman" w:hAnsi="Times New Roman" w:eastAsia="仿宋_GB2312" w:cs="Times New Roman"/>
          <w:b/>
          <w:bCs/>
          <w:sz w:val="32"/>
          <w:szCs w:val="32"/>
        </w:rPr>
        <w:t>二是积极参加文艺展演活动。</w:t>
      </w:r>
      <w:r>
        <w:rPr>
          <w:rFonts w:hint="default" w:ascii="Times New Roman" w:hAnsi="Times New Roman" w:eastAsia="仿宋_GB2312" w:cs="Times New Roman"/>
          <w:sz w:val="32"/>
          <w:szCs w:val="32"/>
        </w:rPr>
        <w:t>为加大对外交流力度，选送10多个节目和作品参加了“艺星向党”湖南省社会艺术考级成果展演（展览）活动、“垃圾分类新时尚，智慧环卫惠雁城”衡阳市城市生活垃圾分类启动仪式、全市党史学习教育抢答赛、“学党史、强信念、跟党走”衡阳市纪念五四运动102周年主题团日活动、“同心向党·情满中秋”新时代文明实践活动、衡阳县“学百年党史、做时代青年”纪念五四运动102周年等活动，获得了社会各界的广泛好评。</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b/>
          <w:bCs/>
          <w:i w:val="0"/>
          <w:iCs w:val="0"/>
          <w:caps w:val="0"/>
          <w:color w:val="auto"/>
          <w:spacing w:val="0"/>
          <w:sz w:val="32"/>
          <w:szCs w:val="32"/>
          <w:shd w:val="clear" w:fill="FFFFFF"/>
          <w:lang w:val="en-US" w:eastAsia="zh-CN"/>
        </w:rPr>
      </w:pPr>
      <w:r>
        <w:rPr>
          <w:rFonts w:hint="default" w:ascii="Times New Roman" w:hAnsi="Times New Roman" w:eastAsia="楷体" w:cs="Times New Roman"/>
          <w:b/>
          <w:bCs/>
          <w:i w:val="0"/>
          <w:iCs w:val="0"/>
          <w:caps w:val="0"/>
          <w:color w:val="auto"/>
          <w:spacing w:val="0"/>
          <w:sz w:val="32"/>
          <w:szCs w:val="32"/>
          <w:shd w:val="clear" w:fill="FFFFFF"/>
          <w:lang w:val="en-US" w:eastAsia="zh-CN"/>
        </w:rPr>
        <w:t>（四）效果情况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实际工作情况，围绕经济效益、社会效益、生态效益、行政效能、社会公众或服务对象满意度等方面，分别设置“促进素质教育培训”“开展思想道德教育活动”“加强社会主义核心价值观教育”“行政效能”和“服务对象满意度”等5个三级指标，以评价绩效目标的实现效果和履职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①经济效益</w:t>
      </w:r>
    </w:p>
    <w:p>
      <w:pPr>
        <w:keepNext w:val="0"/>
        <w:keepLines w:val="0"/>
        <w:pageBreakBefore w:val="0"/>
        <w:widowControl w:val="0"/>
        <w:kinsoku/>
        <w:wordWrap/>
        <w:overflowPunct/>
        <w:topLinePunct w:val="0"/>
        <w:autoSpaceDE/>
        <w:autoSpaceDN/>
        <w:bidi w:val="0"/>
        <w:adjustRightInd/>
        <w:snapToGrid/>
        <w:spacing w:line="600" w:lineRule="exact"/>
        <w:ind w:left="0" w:firstLine="627" w:firstLineChars="19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主动积极应对新冠肺炎疫情停课和“双减”政策影响，紧跟青少年素质教育需求，打造新的增长点，提升素质教育培训的市场竞争力。2021年开办普惠式培训班</w:t>
      </w:r>
      <w:r>
        <w:rPr>
          <w:rFonts w:hint="default" w:ascii="Times New Roman" w:hAnsi="Times New Roman" w:eastAsia="仿宋_GB2312" w:cs="Times New Roman"/>
          <w:sz w:val="32"/>
          <w:szCs w:val="32"/>
          <w:lang w:val="en-US" w:eastAsia="zh-CN"/>
        </w:rPr>
        <w:t>978</w:t>
      </w:r>
      <w:r>
        <w:rPr>
          <w:rFonts w:hint="default" w:ascii="Times New Roman" w:hAnsi="Times New Roman" w:eastAsia="仿宋_GB2312" w:cs="Times New Roman"/>
          <w:sz w:val="32"/>
          <w:szCs w:val="32"/>
        </w:rPr>
        <w:t>个，直接培训服务学员14340人次（不含幼儿园、寒假班），年培训收入1112.36万元，培训收入较2020年增长26.8%，与2019年基本持平。</w:t>
      </w:r>
      <w:r>
        <w:rPr>
          <w:rFonts w:hint="default" w:ascii="Times New Roman" w:hAnsi="Times New Roman" w:eastAsia="仿宋_GB2312" w:cs="Times New Roman"/>
          <w:b/>
          <w:bCs/>
          <w:sz w:val="32"/>
          <w:szCs w:val="32"/>
        </w:rPr>
        <w:t>一是示范落实“双减”政策。</w:t>
      </w:r>
      <w:r>
        <w:rPr>
          <w:rFonts w:hint="default" w:ascii="Times New Roman" w:hAnsi="Times New Roman" w:eastAsia="仿宋_GB2312" w:cs="Times New Roman"/>
          <w:sz w:val="32"/>
          <w:szCs w:val="32"/>
        </w:rPr>
        <w:t>以高度的政治自觉落实“双减”政策要求，停办、清理涉及学科类培训的项目，不再开办新的学科类培训项目，不向学龄前儿童开展学科类培训。将原文学与思维训练部承担的学科类培训职能逐步转型为托管服务、研学实践、创新思维、阅读与写作、人文素养等方面的课程，其中研学</w:t>
      </w:r>
      <w:r>
        <w:rPr>
          <w:rFonts w:hint="default" w:ascii="Times New Roman" w:hAnsi="Times New Roman" w:eastAsia="仿宋_GB2312" w:cs="Times New Roman"/>
          <w:sz w:val="32"/>
          <w:szCs w:val="32"/>
          <w:highlight w:val="none"/>
        </w:rPr>
        <w:t>营受到</w:t>
      </w:r>
      <w:r>
        <w:rPr>
          <w:rFonts w:hint="default" w:ascii="Times New Roman" w:hAnsi="Times New Roman" w:eastAsia="仿宋_GB2312" w:cs="Times New Roman"/>
          <w:sz w:val="32"/>
          <w:szCs w:val="32"/>
        </w:rPr>
        <w:t>家长和学员的欢迎。</w:t>
      </w:r>
      <w:r>
        <w:rPr>
          <w:rFonts w:hint="default" w:ascii="Times New Roman" w:hAnsi="Times New Roman" w:eastAsia="仿宋_GB2312" w:cs="Times New Roman"/>
          <w:b/>
          <w:bCs/>
          <w:sz w:val="32"/>
          <w:szCs w:val="32"/>
        </w:rPr>
        <w:t>二是提升素质教育质量。</w:t>
      </w:r>
      <w:r>
        <w:rPr>
          <w:rFonts w:hint="default" w:ascii="Times New Roman" w:hAnsi="Times New Roman" w:eastAsia="仿宋_GB2312" w:cs="Times New Roman"/>
          <w:sz w:val="32"/>
          <w:szCs w:val="32"/>
        </w:rPr>
        <w:t>以提升青少年核心素养为方向，结合市场需要推进课程供给侧改革，开设舞蹈基本功测评、舞蹈技巧、编程、假期托管等新课程。实行全员招生行动，全</w:t>
      </w:r>
      <w:r>
        <w:rPr>
          <w:rFonts w:hint="default" w:ascii="Times New Roman" w:hAnsi="Times New Roman" w:eastAsia="仿宋_GB2312" w:cs="Times New Roman"/>
          <w:sz w:val="32"/>
          <w:szCs w:val="32"/>
          <w:highlight w:val="none"/>
        </w:rPr>
        <w:t>宫人员</w:t>
      </w:r>
      <w:r>
        <w:rPr>
          <w:rFonts w:hint="default" w:ascii="Times New Roman" w:hAnsi="Times New Roman" w:eastAsia="仿宋_GB2312" w:cs="Times New Roman"/>
          <w:sz w:val="32"/>
          <w:szCs w:val="32"/>
        </w:rPr>
        <w:t>都与招生任务责任捆绑。建立教学常规检查考核制度，推行新课程、新教师试课磨课制度，实施“推门听课”、示范课等制度，公开教学计划，抓实教研活动，开展素质培训问卷调查、“家长开放日”活动，将老生续班率、家长满意度列入教师考核评价的重要内容，不断促进素质教育培训由重数量向重质量的转型提升。组织1600名学员参加舞蹈、美术、书法、主持、跆拳道考级，通过率100%；跆拳道专业学员</w:t>
      </w:r>
      <w:r>
        <w:rPr>
          <w:rFonts w:hint="default" w:ascii="Times New Roman" w:hAnsi="Times New Roman" w:eastAsia="仿宋_GB2312" w:cs="Times New Roman"/>
          <w:sz w:val="32"/>
          <w:szCs w:val="32"/>
          <w:highlight w:val="none"/>
          <w:lang w:eastAsia="zh-CN"/>
        </w:rPr>
        <w:t>斩获</w:t>
      </w:r>
      <w:r>
        <w:rPr>
          <w:rFonts w:hint="default" w:ascii="Times New Roman" w:hAnsi="Times New Roman" w:eastAsia="仿宋_GB2312" w:cs="Times New Roman"/>
          <w:sz w:val="32"/>
          <w:szCs w:val="32"/>
        </w:rPr>
        <w:t>省跆拳道系列赛衡阳赛区三金六银，11名学员在省首届体育“云运动会”网络比赛中获奖，跆拳道馆被授予市跆拳道协会副主席单位。</w:t>
      </w:r>
      <w:r>
        <w:rPr>
          <w:rFonts w:hint="default" w:ascii="Times New Roman" w:hAnsi="Times New Roman" w:eastAsia="仿宋_GB2312" w:cs="Times New Roman"/>
          <w:b/>
          <w:bCs/>
          <w:sz w:val="32"/>
          <w:szCs w:val="32"/>
        </w:rPr>
        <w:t>三是积极承接课后服务。</w:t>
      </w:r>
      <w:r>
        <w:rPr>
          <w:rFonts w:hint="default" w:ascii="Times New Roman" w:hAnsi="Times New Roman" w:eastAsia="仿宋_GB2312" w:cs="Times New Roman"/>
          <w:sz w:val="32"/>
          <w:szCs w:val="32"/>
        </w:rPr>
        <w:t>积极主动承担社会责任，与有关城区学校主动对接，先后派出教师</w:t>
      </w:r>
      <w:r>
        <w:rPr>
          <w:rFonts w:hint="default" w:ascii="Times New Roman" w:hAnsi="Times New Roman" w:eastAsia="仿宋_GB2312" w:cs="Times New Roman"/>
          <w:sz w:val="32"/>
          <w:szCs w:val="32"/>
          <w:lang w:val="en-US" w:eastAsia="zh-CN"/>
        </w:rPr>
        <w:t>39</w:t>
      </w:r>
      <w:r>
        <w:rPr>
          <w:rFonts w:hint="default" w:ascii="Times New Roman" w:hAnsi="Times New Roman" w:eastAsia="仿宋_GB2312" w:cs="Times New Roman"/>
          <w:sz w:val="32"/>
          <w:szCs w:val="32"/>
        </w:rPr>
        <w:t>人次，承担了5所小学课后服务工作，探索校内、校外教育结合发展的新模式。</w:t>
      </w:r>
      <w:r>
        <w:rPr>
          <w:rFonts w:hint="default" w:ascii="Times New Roman" w:hAnsi="Times New Roman" w:eastAsia="仿宋_GB2312" w:cs="Times New Roman"/>
          <w:b/>
          <w:sz w:val="32"/>
          <w:szCs w:val="32"/>
        </w:rPr>
        <w:t xml:space="preserve"> 四是幼儿园办学水平迈上新台阶。</w:t>
      </w:r>
      <w:r>
        <w:rPr>
          <w:rFonts w:hint="default" w:ascii="Times New Roman" w:hAnsi="Times New Roman" w:eastAsia="仿宋_GB2312" w:cs="Times New Roman"/>
          <w:sz w:val="32"/>
          <w:szCs w:val="32"/>
        </w:rPr>
        <w:t xml:space="preserve">艺术幼儿园在全宫教育办学工作中具有基础性、战略性地位，受硬件条件限制，幼儿园办学水平一直徘徊不前。针对幼儿教育发展新趋势，社会对青宫幼儿园的新期盼，我们抓住市教育局对全市幼儿园重新评定等级契机，新建游乐场，升级办学设备，改善园所条件，加强教师队伍建设，保育服务水平大幅度提高，艺术幼儿园成功获评全市“示范性幼儿园”，进入全市幼儿教育“第一方阵”，圆了几代青宫幼教人的梦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②社会效益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以实践活动为载体，围绕传承红色基因、践行社会主义核心价值观、优秀传统文化教育三个维度，全年组织开展形式多样、内容丰富的活动近60次，周周有活动，次次有好评，持续发力未成年人思想道德建设工作，引导青少年在实践中认识国情、了解社会，扣好第一粒扣子。 </w:t>
      </w:r>
      <w:r>
        <w:rPr>
          <w:rFonts w:hint="default" w:ascii="Times New Roman" w:hAnsi="Times New Roman" w:eastAsia="仿宋_GB2312" w:cs="Times New Roman"/>
          <w:b/>
          <w:bCs/>
          <w:sz w:val="32"/>
          <w:szCs w:val="32"/>
        </w:rPr>
        <w:t>一是开展主题活动，加强思想引领。</w:t>
      </w:r>
      <w:r>
        <w:rPr>
          <w:rFonts w:hint="default" w:ascii="Times New Roman" w:hAnsi="Times New Roman" w:eastAsia="仿宋_GB2312" w:cs="Times New Roman"/>
          <w:sz w:val="32"/>
          <w:szCs w:val="32"/>
        </w:rPr>
        <w:t>以庆祝建党百年、学习宣传贯彻省市党代会精神为主线，以“童心向党”“我的衡阳·我的奋斗”为主题，先后组织开展了“百年党史少年说”线上党史学习教育、 “学党史、强信念、跟党走”主题教育实践、 “争做新时代好少年”全市少儿才艺大赛、“党的故事我来讲”经典诵读、”唱支山歌给党听“音乐比赛、”我向党旗敬个礼“舞蹈比赛、 “童心筑梦绘百年” 和“童手绘衡阳”书画展、 “手绘新衡阳·喜迎党代会” 、“党的光辉照我心”主题征文等主题活动30余次，引导教育广大少年儿童传承红色基因，培养对党、对社会主义祖国的朴素情感。其中“百年党史少年说”线上党史学习教育活动被省文明办、省教育厅和团省委宣传推介，《百名青少年手绘衡阳喜迎党代会》等3次活动被</w:t>
      </w:r>
      <w:r>
        <w:rPr>
          <w:rFonts w:hint="default" w:ascii="Times New Roman" w:hAnsi="Times New Roman" w:eastAsia="仿宋_GB2312" w:cs="Times New Roman"/>
          <w:sz w:val="32"/>
          <w:szCs w:val="32"/>
          <w:highlight w:val="none"/>
          <w:lang w:eastAsia="zh-CN"/>
        </w:rPr>
        <w:t>市委网信办</w:t>
      </w:r>
      <w:r>
        <w:rPr>
          <w:rFonts w:hint="default" w:ascii="Times New Roman" w:hAnsi="Times New Roman" w:eastAsia="仿宋_GB2312" w:cs="Times New Roman"/>
          <w:sz w:val="32"/>
          <w:szCs w:val="32"/>
        </w:rPr>
        <w:t>评为“每日一推”优质稿件。</w:t>
      </w:r>
      <w:r>
        <w:rPr>
          <w:rFonts w:hint="default" w:ascii="Times New Roman" w:hAnsi="Times New Roman" w:eastAsia="仿宋_GB2312" w:cs="Times New Roman"/>
          <w:b/>
          <w:bCs/>
          <w:sz w:val="32"/>
          <w:szCs w:val="32"/>
        </w:rPr>
        <w:t>二是开展体验活动，促进全面发展。</w:t>
      </w:r>
      <w:r>
        <w:rPr>
          <w:rFonts w:hint="default" w:ascii="Times New Roman" w:hAnsi="Times New Roman" w:eastAsia="仿宋_GB2312" w:cs="Times New Roman"/>
          <w:sz w:val="32"/>
          <w:szCs w:val="32"/>
        </w:rPr>
        <w:t>围绕创建全国文明城市、“我们的节日”等主题，坚持“五育”并举，先后开展“青·趣分类”青少年助力垃圾分类志愿服务、“欢乐猜灯谜·巧手做花灯”亲子DIY、“童心向党·缅怀英烈”清明祭英烈、庆“六一”长征主题体验、“欢度中秋·月饼DIY“、“童心敬老·爱满重阳”、国防教育研学营、“小小消防员”职业体验、”童眼看衡阳·探寻蒸水飞架”徒步嘉年华、青少年科技节、文学创作公益讲座等体验活动20多次，为少年儿童搭建起参与和认识社会、弘扬社会主义核心价值观的实践平台，促进青少年全面发展。</w:t>
      </w:r>
      <w:r>
        <w:rPr>
          <w:rFonts w:hint="default" w:ascii="Times New Roman" w:hAnsi="Times New Roman" w:eastAsia="仿宋_GB2312" w:cs="Times New Roman"/>
          <w:b/>
          <w:bCs/>
          <w:sz w:val="32"/>
          <w:szCs w:val="32"/>
        </w:rPr>
        <w:t>三是开展公益活动，彰显社会责任</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sz w:val="32"/>
          <w:szCs w:val="32"/>
        </w:rPr>
        <w:t>围绕关爱留守儿童、服务家庭教育、激励优秀少年开展各类公益活动，服务少年儿童成长成才。前往衡阳县樟木乡里仁完小、衡山县福田中心幼儿园开展“流动青少年宫”和支教活动，为农村留守儿童送去过冬棉被、文体和学习用品，让优质教育资源惠及更多乡村学校。开展3场“家长学校”公益讲座，帮助家长提高家庭教育水平，积极为孩子创造健康、和谐的成长环境。开展“榜样的力量”优秀学员宣传，评选表彰62名“星级学子”，引导广大少年儿童学先进、做先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③生态效益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本单位大院环境优美、绿树成荫，湖水清澈，通道整洁卫生，为学生提供了舒适的培训环境。为附近市民提供了一个健身锻炼休闲的场所。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④行政效益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突出严和实的要求，坚持和加强党的全面领导，为事业发展提供组织和人才保障。</w:t>
      </w:r>
      <w:r>
        <w:rPr>
          <w:rFonts w:hint="default" w:ascii="Times New Roman" w:hAnsi="Times New Roman" w:eastAsia="仿宋_GB2312" w:cs="Times New Roman"/>
          <w:b/>
          <w:bCs/>
          <w:sz w:val="32"/>
          <w:szCs w:val="32"/>
        </w:rPr>
        <w:t>一是落实全面从严治党要求。</w:t>
      </w:r>
      <w:r>
        <w:rPr>
          <w:rFonts w:hint="default" w:ascii="Times New Roman" w:hAnsi="Times New Roman" w:eastAsia="仿宋_GB2312" w:cs="Times New Roman"/>
          <w:sz w:val="32"/>
          <w:szCs w:val="32"/>
        </w:rPr>
        <w:t>落实党建和党风廉政工作责任制要求，层层签订了责任状，层层落实责任。牢牢把握党史学习教育总要求，精心组织、周密实施，有序推进党史学习教育工作。通过集中学习、警示教育、参观考察、观看影片等方式，不断提升干部职工队伍的政治意识、纪律意识、规矩意识、奉献意识。推行企业微信实行</w:t>
      </w:r>
      <w:r>
        <w:rPr>
          <w:rFonts w:hint="default" w:ascii="Times New Roman" w:hAnsi="Times New Roman" w:eastAsia="仿宋_GB2312" w:cs="Times New Roman"/>
          <w:sz w:val="32"/>
          <w:szCs w:val="32"/>
          <w:highlight w:val="none"/>
        </w:rPr>
        <w:t>上、下班</w:t>
      </w:r>
      <w:r>
        <w:rPr>
          <w:rFonts w:hint="default" w:ascii="Times New Roman" w:hAnsi="Times New Roman" w:eastAsia="仿宋_GB2312" w:cs="Times New Roman"/>
          <w:sz w:val="32"/>
          <w:szCs w:val="32"/>
        </w:rPr>
        <w:t>打卡制度，不断提升职工纪律意识。修订了绩效工资改革实施方案，完善了公章管理、停车场管理、财务管理、资产管理、计划生育等制度，进一步构建规范</w:t>
      </w:r>
      <w:r>
        <w:rPr>
          <w:rFonts w:hint="default" w:ascii="Times New Roman" w:hAnsi="Times New Roman" w:eastAsia="仿宋_GB2312" w:cs="Times New Roman"/>
          <w:sz w:val="32"/>
          <w:szCs w:val="32"/>
          <w:highlight w:val="none"/>
          <w:lang w:eastAsia="zh-CN"/>
        </w:rPr>
        <w:t>有序地运行</w:t>
      </w:r>
      <w:r>
        <w:rPr>
          <w:rFonts w:hint="default" w:ascii="Times New Roman" w:hAnsi="Times New Roman" w:eastAsia="仿宋_GB2312" w:cs="Times New Roman"/>
          <w:sz w:val="32"/>
          <w:szCs w:val="32"/>
        </w:rPr>
        <w:t>体制。</w:t>
      </w:r>
      <w:r>
        <w:rPr>
          <w:rFonts w:hint="default" w:ascii="Times New Roman" w:hAnsi="Times New Roman" w:eastAsia="仿宋_GB2312" w:cs="Times New Roman"/>
          <w:b/>
          <w:bCs/>
          <w:sz w:val="32"/>
          <w:szCs w:val="32"/>
        </w:rPr>
        <w:t>二是不断激发队伍活力。</w:t>
      </w:r>
      <w:r>
        <w:rPr>
          <w:rFonts w:hint="default" w:ascii="Times New Roman" w:hAnsi="Times New Roman" w:eastAsia="仿宋_GB2312" w:cs="Times New Roman"/>
          <w:sz w:val="32"/>
          <w:szCs w:val="32"/>
        </w:rPr>
        <w:t>加大专业教师队伍建设，先后选送教师近20人次赴深圳、北京等地进行了业务知识培训。组织开展青年教师学习成果报告会、新教师磨课教研活动、舞蹈创编教学研讨会和教师专业技能比赛，不断增强教师的专业能力。青少年宫微信公众号连续进入全年三季的全市新媒体影响力排行榜。组织开展职工春游、户外拓展等活动，提升队伍凝聚力。将临聘教师用工方式改为劳务派遣，规范用工，规避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⑤服务对象满意度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sz w:val="32"/>
          <w:szCs w:val="32"/>
          <w:lang w:val="en-US" w:eastAsia="zh-CN"/>
        </w:rPr>
        <w:t>主要通过调查了解本单位履行部门职责而举办的相关社会活动，从广大市民的参与度来看，社会公众满意度达到96%以上。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七、综合评价结论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2021年度部门整体支出绩效评价综合评价得分为94分。其中，投入10.00分，过程24.00分，产出30.00分，效益30.00分，综合绩效级别为“优”（绩效评分明细表详见附件1）。</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val="en-US" w:eastAsia="zh-CN"/>
        </w:rPr>
      </w:pPr>
      <w:bookmarkStart w:id="0" w:name="_Toc25649"/>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）绩效</w:t>
      </w:r>
      <w:r>
        <w:rPr>
          <w:rFonts w:hint="default" w:ascii="Times New Roman" w:hAnsi="Times New Roman" w:eastAsia="楷体" w:cs="Times New Roman"/>
          <w:b/>
          <w:bCs/>
          <w:color w:val="auto"/>
          <w:sz w:val="32"/>
          <w:szCs w:val="32"/>
          <w:lang w:val="en-US" w:eastAsia="zh-CN"/>
        </w:rPr>
        <w:t>管理有待加强</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2021年财政首次要求提交绩效目标，相关绩效管理尚待加强。</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eastAsia="zh-CN"/>
        </w:rPr>
      </w:pPr>
      <w:bookmarkStart w:id="1" w:name="_Toc23926"/>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）做好年度绩效目标申报工作</w:t>
      </w:r>
      <w:bookmarkEnd w:id="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lang w:val="en-US" w:eastAsia="zh-CN"/>
        </w:rPr>
        <w:t>和财政衔接好做好</w:t>
      </w:r>
      <w:r>
        <w:rPr>
          <w:rFonts w:hint="default" w:ascii="Times New Roman" w:hAnsi="Times New Roman" w:eastAsia="仿宋_GB2312" w:cs="Times New Roman"/>
          <w:color w:val="auto"/>
          <w:sz w:val="32"/>
          <w:szCs w:val="32"/>
          <w:lang w:eastAsia="zh-CN"/>
        </w:rPr>
        <w:t>申报年度绩效目标</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eastAsia="zh-CN"/>
        </w:rPr>
        <w:t>，并且年度量化绩效目标要与年度预算资金相匹配。</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部门整体支出绩效评价指标评分表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960" w:firstLineChars="3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部门整体支出绩效评价基础表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560" w:lineRule="exact"/>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1</w:t>
      </w:r>
      <w:r>
        <w:rPr>
          <w:rFonts w:ascii="Times New Roman" w:hAnsi="Times New Roman" w:eastAsia="仿宋"/>
          <w:sz w:val="32"/>
          <w:szCs w:val="32"/>
        </w:rPr>
        <w:t xml:space="preserve">    </w:t>
      </w:r>
    </w:p>
    <w:p>
      <w:pPr>
        <w:spacing w:line="560" w:lineRule="exact"/>
        <w:ind w:firstLine="1080" w:firstLineChars="300"/>
        <w:rPr>
          <w:rFonts w:hint="eastAsia" w:ascii="Times New Roman" w:hAnsi="Times New Roman" w:eastAsia="方正小标宋简体"/>
          <w:kern w:val="0"/>
          <w:sz w:val="36"/>
          <w:szCs w:val="36"/>
        </w:rPr>
      </w:pPr>
      <w:r>
        <w:rPr>
          <w:rFonts w:hint="eastAsia" w:ascii="Times New Roman" w:hAnsi="Times New Roman" w:eastAsia="方正小标宋简体"/>
          <w:kern w:val="0"/>
          <w:sz w:val="36"/>
          <w:szCs w:val="36"/>
        </w:rPr>
        <w:t>部门整体支出绩效评价指标评分表</w:t>
      </w:r>
    </w:p>
    <w:p>
      <w:pPr>
        <w:spacing w:line="560" w:lineRule="exact"/>
        <w:ind w:firstLine="1080" w:firstLineChars="300"/>
        <w:rPr>
          <w:rFonts w:hint="eastAsia" w:ascii="Times New Roman" w:hAnsi="Times New Roman" w:eastAsia="方正小标宋简体"/>
          <w:kern w:val="0"/>
          <w:sz w:val="36"/>
          <w:szCs w:val="36"/>
        </w:rPr>
      </w:pPr>
    </w:p>
    <w:tbl>
      <w:tblPr>
        <w:tblStyle w:val="8"/>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r>
              <w:rPr>
                <w:rFonts w:hint="eastAsia" w:ascii="Times New Roman" w:hAnsi="Times New Roman"/>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三级</w:t>
            </w:r>
          </w:p>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得分</w:t>
            </w:r>
          </w:p>
        </w:tc>
      </w:tr>
      <w:tr>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投</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入</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tc>
        <w:tc>
          <w:tcPr>
            <w:tcW w:w="677" w:type="dxa"/>
            <w:vMerge w:val="restart"/>
            <w:tcBorders>
              <w:top w:val="nil"/>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目标设定</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6</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绩效目标合理性</w:t>
            </w:r>
          </w:p>
        </w:tc>
        <w:tc>
          <w:tcPr>
            <w:tcW w:w="48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top w:val="nil"/>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是否符合国家法律法规、国民经济和社会发展总体规划；</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是否符合部门</w:t>
            </w:r>
            <w:r>
              <w:rPr>
                <w:rFonts w:ascii="Times New Roman" w:hAnsi="Times New Roman"/>
                <w:kern w:val="0"/>
                <w:sz w:val="20"/>
                <w:szCs w:val="20"/>
              </w:rPr>
              <w:t>“</w:t>
            </w:r>
            <w:r>
              <w:rPr>
                <w:rFonts w:hint="eastAsia" w:ascii="Times New Roman" w:hAnsi="Times New Roman"/>
                <w:kern w:val="0"/>
                <w:sz w:val="20"/>
                <w:szCs w:val="20"/>
              </w:rPr>
              <w:t>三定</w:t>
            </w:r>
            <w:r>
              <w:rPr>
                <w:rFonts w:ascii="Times New Roman" w:hAnsi="Times New Roman"/>
                <w:kern w:val="0"/>
                <w:sz w:val="20"/>
                <w:szCs w:val="20"/>
              </w:rPr>
              <w:t>”</w:t>
            </w:r>
            <w:r>
              <w:rPr>
                <w:rFonts w:hint="eastAsia" w:ascii="Times New Roman" w:hAnsi="Times New Roman"/>
                <w:kern w:val="0"/>
                <w:sz w:val="20"/>
                <w:szCs w:val="20"/>
              </w:rPr>
              <w:t>方案确定的职责；</w:t>
            </w:r>
          </w:p>
          <w:p>
            <w:pPr>
              <w:widowControl/>
              <w:jc w:val="left"/>
              <w:rPr>
                <w:rFonts w:ascii="Times New Roman" w:hAnsi="Times New Roman" w:eastAsia="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是否符合部门制定的中长期实施规划。</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绩效指标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明确性</w:t>
            </w:r>
          </w:p>
        </w:tc>
        <w:tc>
          <w:tcPr>
            <w:tcW w:w="483" w:type="dxa"/>
            <w:tcBorders>
              <w:left w:val="nil"/>
              <w:bottom w:val="single" w:color="auto" w:sz="4" w:space="0"/>
              <w:right w:val="single" w:color="auto" w:sz="4" w:space="0"/>
            </w:tcBorders>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部门依据整体绩效目标所设定的绩效指针是否清晰、细化、可衡量，用以反映和考核部门整体绩效目标的明细化情况。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是否将部门整体的绩效目标细化分解为具体的工作任务；</w:t>
            </w:r>
          </w:p>
          <w:p>
            <w:pPr>
              <w:widowControl/>
              <w:jc w:val="left"/>
              <w:rPr>
                <w:rFonts w:hint="eastAsia" w:ascii="Times New Roman" w:hAnsi="Times New Roman"/>
                <w:kern w:val="0"/>
                <w:sz w:val="20"/>
                <w:szCs w:val="20"/>
              </w:rPr>
            </w:pPr>
            <w:r>
              <w:rPr>
                <w:rFonts w:ascii="Times New Roman" w:hAnsi="Times New Roman"/>
                <w:kern w:val="0"/>
                <w:sz w:val="20"/>
                <w:szCs w:val="20"/>
              </w:rPr>
              <w:t>②</w:t>
            </w:r>
            <w:r>
              <w:rPr>
                <w:rFonts w:hint="eastAsia" w:ascii="Times New Roman" w:hAnsi="Times New Roman"/>
                <w:kern w:val="0"/>
                <w:sz w:val="20"/>
                <w:szCs w:val="20"/>
              </w:rPr>
              <w:t>是否通过清晰、可衡量的指标值予以体现。</w:t>
            </w:r>
            <w:r>
              <w:rPr>
                <w:rFonts w:ascii="Times New Roman" w:hAnsi="Times New Roman"/>
                <w:kern w:val="0"/>
                <w:sz w:val="20"/>
                <w:szCs w:val="20"/>
              </w:rPr>
              <w:t xml:space="preserve"> </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 xml:space="preserve"> ③</w:t>
            </w:r>
            <w:r>
              <w:rPr>
                <w:rFonts w:hint="eastAsia" w:ascii="Times New Roman" w:hAnsi="Times New Roman"/>
                <w:kern w:val="0"/>
                <w:sz w:val="20"/>
                <w:szCs w:val="20"/>
              </w:rPr>
              <w:t>是否与部门年度的任务数或计划数相对应；</w:t>
            </w:r>
          </w:p>
          <w:p>
            <w:pPr>
              <w:widowControl/>
              <w:jc w:val="left"/>
              <w:rPr>
                <w:rFonts w:ascii="Times New Roman" w:hAnsi="Times New Roman" w:eastAsia="Times New Roman"/>
                <w:kern w:val="0"/>
                <w:sz w:val="20"/>
                <w:szCs w:val="20"/>
              </w:rPr>
            </w:pPr>
            <w:r>
              <w:rPr>
                <w:rFonts w:ascii="Times New Roman" w:hAnsi="Times New Roman"/>
                <w:kern w:val="0"/>
                <w:sz w:val="20"/>
                <w:szCs w:val="20"/>
              </w:rPr>
              <w:t>④</w:t>
            </w:r>
            <w:r>
              <w:rPr>
                <w:rFonts w:hint="eastAsia" w:ascii="Times New Roman" w:hAnsi="Times New Roman"/>
                <w:kern w:val="0"/>
                <w:sz w:val="20"/>
                <w:szCs w:val="20"/>
              </w:rPr>
              <w:t>是否与本年度部门预算资金相匹配。</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预算配置</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4</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1</w:t>
            </w:r>
          </w:p>
        </w:tc>
        <w:tc>
          <w:tcPr>
            <w:tcW w:w="2948" w:type="dxa"/>
            <w:tcBorders>
              <w:top w:val="nil"/>
              <w:left w:val="nil"/>
              <w:bottom w:val="nil"/>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w:t>
            </w:r>
            <w:r>
              <w:rPr>
                <w:rFonts w:ascii="Times New Roman" w:hAnsi="Times New Roman"/>
                <w:kern w:val="0"/>
                <w:sz w:val="20"/>
                <w:szCs w:val="20"/>
              </w:rPr>
              <w:t>100%</w:t>
            </w:r>
            <w:r>
              <w:rPr>
                <w:rFonts w:hint="eastAsia" w:ascii="Times New Roman" w:hAnsi="Times New Roman"/>
                <w:kern w:val="0"/>
                <w:sz w:val="20"/>
                <w:szCs w:val="20"/>
              </w:rPr>
              <w:t>为标准。在职人员控制率</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在职人员控制率</w:t>
            </w:r>
            <w:r>
              <w:rPr>
                <w:rFonts w:ascii="Times New Roman" w:hAnsi="Times New Roman"/>
                <w:kern w:val="0"/>
                <w:sz w:val="20"/>
                <w:szCs w:val="20"/>
              </w:rPr>
              <w:t>=</w:t>
            </w:r>
            <w:r>
              <w:rPr>
                <w:rFonts w:hint="eastAsia" w:ascii="Times New Roman" w:hAnsi="Times New Roman"/>
                <w:kern w:val="0"/>
                <w:sz w:val="20"/>
                <w:szCs w:val="20"/>
              </w:rPr>
              <w:t>（在职人员数</w:t>
            </w:r>
            <w:r>
              <w:rPr>
                <w:rFonts w:ascii="Times New Roman" w:hAnsi="Times New Roman"/>
                <w:kern w:val="0"/>
                <w:sz w:val="20"/>
                <w:szCs w:val="20"/>
              </w:rPr>
              <w:t>/</w:t>
            </w:r>
            <w:r>
              <w:rPr>
                <w:rFonts w:hint="eastAsia" w:ascii="Times New Roman" w:hAnsi="Times New Roman"/>
                <w:kern w:val="0"/>
                <w:sz w:val="20"/>
                <w:szCs w:val="20"/>
              </w:rPr>
              <w:t>编制数）</w:t>
            </w:r>
            <w:r>
              <w:rPr>
                <w:rFonts w:ascii="Times New Roman" w:hAnsi="Times New Roman"/>
                <w:kern w:val="0"/>
                <w:sz w:val="20"/>
                <w:szCs w:val="20"/>
              </w:rPr>
              <w:t>×100%</w:t>
            </w:r>
            <w:r>
              <w:rPr>
                <w:rFonts w:hint="eastAsia" w:ascii="Times New Roman" w:hAnsi="Times New Roman"/>
                <w:kern w:val="0"/>
                <w:sz w:val="20"/>
                <w:szCs w:val="20"/>
              </w:rPr>
              <w:t>，在职人员数：部门（单位）实际在职人数，以财政局确定的部门决算编制口径为准。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w:t>
            </w:r>
            <w:r>
              <w:rPr>
                <w:rFonts w:hint="eastAsia" w:ascii="Times New Roman" w:hAnsi="Times New Roman"/>
                <w:kern w:val="0"/>
                <w:sz w:val="20"/>
                <w:szCs w:val="20"/>
              </w:rPr>
              <w:t>（本年度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重点支出</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安排率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重点支出安排率</w:t>
            </w:r>
            <w:r>
              <w:rPr>
                <w:rFonts w:ascii="Times New Roman" w:hAnsi="Times New Roman"/>
                <w:kern w:val="0"/>
                <w:sz w:val="20"/>
                <w:szCs w:val="20"/>
              </w:rPr>
              <w:t>=</w:t>
            </w:r>
            <w:r>
              <w:rPr>
                <w:rFonts w:hint="eastAsia" w:ascii="Times New Roman" w:hAnsi="Times New Roman"/>
                <w:kern w:val="0"/>
                <w:sz w:val="20"/>
                <w:szCs w:val="20"/>
              </w:rPr>
              <w:t>（重点项目支出</w:t>
            </w:r>
            <w:r>
              <w:rPr>
                <w:rFonts w:ascii="Times New Roman" w:hAnsi="Times New Roman"/>
                <w:kern w:val="0"/>
                <w:sz w:val="20"/>
                <w:szCs w:val="20"/>
              </w:rPr>
              <w:t>/</w:t>
            </w:r>
            <w:r>
              <w:rPr>
                <w:rFonts w:hint="eastAsia" w:ascii="Times New Roman" w:hAnsi="Times New Roman"/>
                <w:kern w:val="0"/>
                <w:sz w:val="20"/>
                <w:szCs w:val="20"/>
              </w:rPr>
              <w:t>项目总支出）</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重点项目支出：部门年度预算安排的，与本部门履职和发展密切相关、具有明显社会和经济影响、党委政府关心或社会比较关注的项目支出总额。</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 　</w:t>
            </w:r>
          </w:p>
        </w:tc>
      </w:tr>
      <w:tr>
        <w:tblPrEx>
          <w:tblCellMar>
            <w:top w:w="0" w:type="dxa"/>
            <w:left w:w="108" w:type="dxa"/>
            <w:bottom w:w="0" w:type="dxa"/>
            <w:right w:w="108" w:type="dxa"/>
          </w:tblCellMar>
        </w:tblPrEx>
        <w:trPr>
          <w:trHeight w:val="145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kern w:val="0"/>
                <w:sz w:val="20"/>
                <w:szCs w:val="20"/>
              </w:rPr>
            </w:pPr>
            <w:r>
              <w:rPr>
                <w:rFonts w:hint="eastAsia" w:ascii="Times New Roman" w:hAnsi="Times New Roman"/>
                <w:kern w:val="0"/>
                <w:sz w:val="20"/>
                <w:szCs w:val="20"/>
              </w:rPr>
              <w:t>预算执行</w:t>
            </w:r>
            <w:r>
              <w:rPr>
                <w:rFonts w:ascii="Times New Roman" w:hAnsi="Times New Roman"/>
                <w:kern w:val="0"/>
                <w:sz w:val="20"/>
                <w:szCs w:val="20"/>
              </w:rPr>
              <w:t>15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≥98%</w:t>
            </w:r>
            <w:r>
              <w:rPr>
                <w:rFonts w:hint="eastAsia" w:ascii="Times New Roman" w:hAnsi="Times New Roman"/>
                <w:kern w:val="0"/>
                <w:sz w:val="20"/>
                <w:szCs w:val="20"/>
              </w:rPr>
              <w:t>计满分，每低于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w:t>
            </w:r>
            <w:r>
              <w:rPr>
                <w:rFonts w:hint="eastAsia" w:ascii="Times New Roman" w:hAnsi="Times New Roman"/>
                <w:kern w:val="0"/>
                <w:sz w:val="20"/>
                <w:szCs w:val="20"/>
              </w:rPr>
              <w:t>年末结余）</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0</w:t>
            </w:r>
          </w:p>
        </w:tc>
      </w:tr>
      <w:tr>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kern w:val="0"/>
                <w:sz w:val="20"/>
                <w:szCs w:val="20"/>
              </w:rPr>
              <w:t>0-10%</w:t>
            </w:r>
            <w:r>
              <w:rPr>
                <w:rFonts w:hint="eastAsia" w:ascii="Times New Roman" w:hAnsi="Times New Roman"/>
                <w:kern w:val="0"/>
                <w:sz w:val="20"/>
                <w:szCs w:val="20"/>
              </w:rPr>
              <w:t>（含），计</w:t>
            </w:r>
            <w:r>
              <w:rPr>
                <w:rFonts w:ascii="Times New Roman" w:hAnsi="Times New Roman"/>
                <w:kern w:val="0"/>
                <w:sz w:val="20"/>
                <w:szCs w:val="20"/>
              </w:rPr>
              <w:t>1.5</w:t>
            </w:r>
            <w:r>
              <w:rPr>
                <w:rFonts w:hint="eastAsia" w:ascii="Times New Roman" w:hAnsi="Times New Roman"/>
                <w:kern w:val="0"/>
                <w:sz w:val="20"/>
                <w:szCs w:val="20"/>
              </w:rPr>
              <w:t>分；</w:t>
            </w:r>
            <w:r>
              <w:rPr>
                <w:rFonts w:ascii="Times New Roman" w:hAnsi="Times New Roman"/>
                <w:kern w:val="0"/>
                <w:sz w:val="20"/>
                <w:szCs w:val="20"/>
              </w:rPr>
              <w:t>10-20%</w:t>
            </w:r>
            <w:r>
              <w:rPr>
                <w:rFonts w:hint="eastAsia" w:ascii="Times New Roman" w:hAnsi="Times New Roman"/>
                <w:kern w:val="0"/>
                <w:sz w:val="20"/>
                <w:szCs w:val="20"/>
              </w:rPr>
              <w:t>（含），计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20-30%</w:t>
            </w:r>
            <w:r>
              <w:rPr>
                <w:rFonts w:hint="eastAsia" w:ascii="Times New Roman" w:hAnsi="Times New Roman"/>
                <w:kern w:val="0"/>
                <w:sz w:val="20"/>
                <w:szCs w:val="20"/>
              </w:rPr>
              <w:t>（含），计</w:t>
            </w:r>
            <w:r>
              <w:rPr>
                <w:rFonts w:ascii="Times New Roman" w:hAnsi="Times New Roman"/>
                <w:kern w:val="0"/>
                <w:sz w:val="20"/>
                <w:szCs w:val="20"/>
              </w:rPr>
              <w:t>0.5</w:t>
            </w:r>
            <w:r>
              <w:rPr>
                <w:rFonts w:hint="eastAsia" w:ascii="Times New Roman" w:hAnsi="Times New Roman"/>
                <w:kern w:val="0"/>
                <w:sz w:val="20"/>
                <w:szCs w:val="20"/>
              </w:rPr>
              <w:t>分；大于</w:t>
            </w:r>
            <w:r>
              <w:rPr>
                <w:rFonts w:ascii="Times New Roman" w:hAnsi="Times New Roman"/>
                <w:kern w:val="0"/>
                <w:sz w:val="20"/>
                <w:szCs w:val="20"/>
              </w:rPr>
              <w:t>30%</w:t>
            </w:r>
            <w:r>
              <w:rPr>
                <w:rFonts w:hint="eastAsia" w:ascii="Times New Roman" w:hAnsi="Times New Roman"/>
                <w:kern w:val="0"/>
                <w:sz w:val="20"/>
                <w:szCs w:val="20"/>
              </w:rPr>
              <w:t>不得分。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w:t>
            </w:r>
            <w:r>
              <w:rPr>
                <w:rFonts w:hint="eastAsia" w:ascii="Times New Roman" w:hAnsi="Times New Roman"/>
                <w:kern w:val="0"/>
                <w:sz w:val="20"/>
                <w:szCs w:val="20"/>
              </w:rPr>
              <w:t>（预算调整数</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符合要求计满分，否则计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支付进度率</w:t>
            </w:r>
            <w:r>
              <w:rPr>
                <w:rFonts w:ascii="Times New Roman" w:hAnsi="Times New Roman"/>
                <w:kern w:val="0"/>
                <w:sz w:val="20"/>
                <w:szCs w:val="20"/>
              </w:rPr>
              <w:t>=</w:t>
            </w:r>
            <w:r>
              <w:rPr>
                <w:rFonts w:hint="eastAsia" w:ascii="Times New Roman" w:hAnsi="Times New Roman"/>
                <w:kern w:val="0"/>
                <w:sz w:val="20"/>
                <w:szCs w:val="20"/>
              </w:rPr>
              <w:t>（实际支付进度</w:t>
            </w:r>
            <w:r>
              <w:rPr>
                <w:rFonts w:ascii="Times New Roman" w:hAnsi="Times New Roman"/>
                <w:kern w:val="0"/>
                <w:sz w:val="20"/>
                <w:szCs w:val="20"/>
              </w:rPr>
              <w:t>/</w:t>
            </w:r>
            <w:r>
              <w:rPr>
                <w:rFonts w:hint="eastAsia" w:ascii="Times New Roman" w:hAnsi="Times New Roman"/>
                <w:kern w:val="0"/>
                <w:sz w:val="20"/>
                <w:szCs w:val="20"/>
              </w:rPr>
              <w:t>既定支付进度）</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实际支付进度：部门在某一时点的支出预算执行总数与年度支出预算数的比率。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结转结余</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eastAsia="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计满分，每超出</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结转结余变动率</w:t>
            </w:r>
            <w:r>
              <w:rPr>
                <w:rFonts w:ascii="Times New Roman" w:hAnsi="Times New Roman"/>
                <w:kern w:val="0"/>
                <w:sz w:val="20"/>
                <w:szCs w:val="20"/>
              </w:rPr>
              <w:t>=[</w:t>
            </w:r>
            <w:r>
              <w:rPr>
                <w:rFonts w:hint="eastAsia" w:ascii="Times New Roman" w:hAnsi="Times New Roman"/>
                <w:kern w:val="0"/>
                <w:sz w:val="20"/>
                <w:szCs w:val="20"/>
              </w:rPr>
              <w:t>（本年度累计结转结余资金总额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以下（含）计满分，每超出</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公用经费控制率</w:t>
            </w:r>
            <w:r>
              <w:rPr>
                <w:rFonts w:ascii="Times New Roman" w:hAnsi="Times New Roman"/>
                <w:kern w:val="0"/>
                <w:sz w:val="20"/>
                <w:szCs w:val="20"/>
              </w:rPr>
              <w:t>=</w:t>
            </w:r>
            <w:r>
              <w:rPr>
                <w:rFonts w:hint="eastAsia" w:ascii="Times New Roman" w:hAnsi="Times New Roman"/>
                <w:kern w:val="0"/>
                <w:sz w:val="20"/>
                <w:szCs w:val="20"/>
              </w:rPr>
              <w:t>（实际支出公用经费总额</w:t>
            </w:r>
            <w:r>
              <w:rPr>
                <w:rFonts w:ascii="Times New Roman" w:hAnsi="Times New Roman"/>
                <w:kern w:val="0"/>
                <w:sz w:val="20"/>
                <w:szCs w:val="20"/>
              </w:rPr>
              <w:t>/</w:t>
            </w:r>
            <w:r>
              <w:rPr>
                <w:rFonts w:hint="eastAsia" w:ascii="Times New Roman" w:hAnsi="Times New Roman"/>
                <w:kern w:val="0"/>
                <w:sz w:val="20"/>
                <w:szCs w:val="20"/>
              </w:rPr>
              <w:t>预算安排公用经费总额）</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0　 </w:t>
            </w:r>
          </w:p>
        </w:tc>
      </w:tr>
      <w:tr>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r>
              <w:rPr>
                <w:rFonts w:ascii="Times New Roman" w:hAnsi="Times New Roman"/>
                <w:kern w:val="0"/>
                <w:sz w:val="20"/>
                <w:szCs w:val="20"/>
              </w:rPr>
              <w:t>-</w:t>
            </w:r>
            <w:r>
              <w:rPr>
                <w:rFonts w:hint="eastAsia" w:ascii="Times New Roman" w:hAnsi="Times New Roman"/>
                <w:kern w:val="0"/>
                <w:sz w:val="20"/>
                <w:szCs w:val="20"/>
              </w:rPr>
              <w:t>（</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实际支出数</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预算安排数）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left"/>
              <w:rPr>
                <w:rFonts w:ascii="Times New Roman" w:hAnsi="Times New Roman" w:eastAsia="仿宋"/>
                <w:sz w:val="20"/>
                <w:szCs w:val="20"/>
              </w:rPr>
            </w:pPr>
            <w:r>
              <w:rPr>
                <w:rFonts w:hint="eastAsia" w:ascii="Times New Roman" w:hAnsi="Times New Roman"/>
                <w:sz w:val="20"/>
                <w:szCs w:val="20"/>
              </w:rPr>
              <w:t>政府采购节资率</w:t>
            </w:r>
          </w:p>
          <w:p>
            <w:pPr>
              <w:widowControl/>
              <w:jc w:val="left"/>
              <w:rPr>
                <w:rFonts w:ascii="Times New Roman" w:hAnsi="Times New Roman" w:eastAsia="Times New Roman"/>
                <w:color w:val="FF0000"/>
                <w:kern w:val="0"/>
                <w:sz w:val="20"/>
                <w:szCs w:val="20"/>
              </w:rPr>
            </w:pP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节资率</w:t>
            </w:r>
            <w:r>
              <w:rPr>
                <w:rFonts w:ascii="Times New Roman" w:hAnsi="Times New Roman"/>
                <w:kern w:val="0"/>
                <w:sz w:val="20"/>
                <w:szCs w:val="20"/>
              </w:rPr>
              <w:t>=</w:t>
            </w:r>
            <w:r>
              <w:rPr>
                <w:rFonts w:hint="eastAsia" w:ascii="Times New Roman" w:hAnsi="Times New Roman"/>
                <w:kern w:val="0"/>
                <w:sz w:val="20"/>
                <w:szCs w:val="20"/>
              </w:rPr>
              <w:t>（预算资金</w:t>
            </w:r>
            <w:r>
              <w:rPr>
                <w:rFonts w:ascii="Times New Roman" w:hAnsi="Times New Roman"/>
                <w:kern w:val="0"/>
                <w:sz w:val="20"/>
                <w:szCs w:val="20"/>
              </w:rPr>
              <w:t>-</w:t>
            </w:r>
            <w:r>
              <w:rPr>
                <w:rFonts w:hint="eastAsia" w:ascii="Times New Roman" w:hAnsi="Times New Roman"/>
                <w:kern w:val="0"/>
                <w:sz w:val="20"/>
                <w:szCs w:val="20"/>
              </w:rPr>
              <w:t>实际采购资金）</w:t>
            </w:r>
            <w:r>
              <w:rPr>
                <w:rFonts w:ascii="Times New Roman" w:hAnsi="Times New Roman"/>
                <w:kern w:val="0"/>
                <w:sz w:val="20"/>
                <w:szCs w:val="20"/>
              </w:rPr>
              <w:t>/</w:t>
            </w:r>
            <w:r>
              <w:rPr>
                <w:rFonts w:hint="eastAsia" w:ascii="Times New Roman" w:hAnsi="Times New Roman"/>
                <w:kern w:val="0"/>
                <w:sz w:val="20"/>
                <w:szCs w:val="20"/>
              </w:rPr>
              <w:t>预算资金</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Times New Roman" w:hAnsi="Times New Roman"/>
                <w:kern w:val="0"/>
                <w:sz w:val="20"/>
                <w:szCs w:val="20"/>
              </w:rPr>
              <w:t>等于</w:t>
            </w:r>
            <w:r>
              <w:rPr>
                <w:rFonts w:ascii="Times New Roman" w:hAnsi="Times New Roman"/>
                <w:kern w:val="0"/>
                <w:sz w:val="20"/>
                <w:szCs w:val="20"/>
              </w:rPr>
              <w:t>100%</w:t>
            </w:r>
            <w:r>
              <w:rPr>
                <w:rFonts w:hint="eastAsia" w:ascii="Times New Roman" w:hAnsi="Times New Roman"/>
                <w:kern w:val="0"/>
                <w:sz w:val="20"/>
                <w:szCs w:val="20"/>
              </w:rPr>
              <w:t>计满分，每超过（降低）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r>
              <w:rPr>
                <w:rFonts w:ascii="Times New Roman" w:hAnsi="Times New Roman"/>
                <w:kern w:val="0"/>
                <w:sz w:val="20"/>
                <w:szCs w:val="20"/>
              </w:rPr>
              <w:t>%=</w:t>
            </w:r>
            <w:r>
              <w:rPr>
                <w:rFonts w:hint="eastAsia" w:ascii="Times New Roman" w:hAnsi="Times New Roman"/>
                <w:kern w:val="0"/>
                <w:sz w:val="20"/>
                <w:szCs w:val="20"/>
              </w:rPr>
              <w:t>（实际履约验收个数</w:t>
            </w:r>
            <w:r>
              <w:rPr>
                <w:rFonts w:ascii="Times New Roman" w:hAnsi="Times New Roman"/>
                <w:kern w:val="0"/>
                <w:sz w:val="20"/>
                <w:szCs w:val="20"/>
              </w:rPr>
              <w:t>/</w:t>
            </w:r>
            <w:r>
              <w:rPr>
                <w:rFonts w:hint="eastAsia" w:ascii="Times New Roman" w:hAnsi="Times New Roman"/>
                <w:kern w:val="0"/>
                <w:sz w:val="20"/>
                <w:szCs w:val="20"/>
              </w:rPr>
              <w:t>政府采购个数）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p>
        </w:tc>
        <w:tc>
          <w:tcPr>
            <w:tcW w:w="67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有内部财务管理制度、会计核算制度等管理制度；</w:t>
            </w:r>
            <w:r>
              <w:rPr>
                <w:rFonts w:ascii="Times New Roman" w:hAnsi="Times New Roman"/>
                <w:kern w:val="0"/>
                <w:sz w:val="20"/>
                <w:szCs w:val="20"/>
              </w:rPr>
              <w:t>②</w:t>
            </w:r>
            <w:r>
              <w:rPr>
                <w:rFonts w:hint="eastAsia" w:ascii="Times New Roman" w:hAnsi="Times New Roman"/>
                <w:kern w:val="0"/>
                <w:sz w:val="20"/>
                <w:szCs w:val="20"/>
              </w:rPr>
              <w:t>有本部门厉行节约制度；</w:t>
            </w:r>
          </w:p>
          <w:p>
            <w:pPr>
              <w:widowControl/>
              <w:rPr>
                <w:rFonts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相关管理制度合法、合规、完整；</w:t>
            </w:r>
            <w:r>
              <w:rPr>
                <w:rFonts w:ascii="Times New Roman" w:hAnsi="Times New Roman"/>
                <w:kern w:val="0"/>
                <w:sz w:val="20"/>
                <w:szCs w:val="20"/>
              </w:rPr>
              <w:t>④</w:t>
            </w:r>
            <w:r>
              <w:rPr>
                <w:rFonts w:hint="eastAsia" w:ascii="Times New Roman" w:hAnsi="Times New Roman"/>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w:t>
            </w:r>
          </w:p>
        </w:tc>
      </w:tr>
      <w:tr>
        <w:tblPrEx>
          <w:tblCellMar>
            <w:top w:w="0" w:type="dxa"/>
            <w:left w:w="108" w:type="dxa"/>
            <w:bottom w:w="0" w:type="dxa"/>
            <w:right w:w="108" w:type="dxa"/>
          </w:tblCellMar>
        </w:tblPrEx>
        <w:trPr>
          <w:trHeight w:val="356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4</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hint="eastAsia" w:ascii="Times New Roman" w:hAnsi="Times New Roman"/>
                <w:kern w:val="0"/>
                <w:sz w:val="20"/>
                <w:szCs w:val="20"/>
              </w:rPr>
              <w:t>资金拨付有完整的审批程序和手续；</w:t>
            </w:r>
            <w:r>
              <w:rPr>
                <w:rFonts w:ascii="Times New Roman" w:hAnsi="Times New Roman"/>
                <w:kern w:val="0"/>
                <w:sz w:val="20"/>
                <w:szCs w:val="20"/>
              </w:rPr>
              <w:t>③</w:t>
            </w:r>
            <w:r>
              <w:rPr>
                <w:rFonts w:hint="eastAsia" w:ascii="Times New Roman" w:hAnsi="Times New Roman"/>
                <w:kern w:val="0"/>
                <w:sz w:val="20"/>
                <w:szCs w:val="20"/>
              </w:rPr>
              <w:t>项目支出按规定经过评估论证；</w:t>
            </w:r>
            <w:r>
              <w:rPr>
                <w:rFonts w:ascii="Times New Roman" w:hAnsi="Times New Roman"/>
                <w:kern w:val="0"/>
                <w:sz w:val="20"/>
                <w:szCs w:val="20"/>
              </w:rPr>
              <w:t>④</w:t>
            </w:r>
            <w:r>
              <w:rPr>
                <w:rFonts w:hint="eastAsia" w:ascii="Times New Roman" w:hAnsi="Times New Roman"/>
                <w:kern w:val="0"/>
                <w:sz w:val="20"/>
                <w:szCs w:val="20"/>
              </w:rPr>
              <w:t>支出符合部门预算批复的用途；</w:t>
            </w:r>
            <w:r>
              <w:rPr>
                <w:rFonts w:ascii="Times New Roman" w:hAnsi="Times New Roman"/>
                <w:kern w:val="0"/>
                <w:sz w:val="20"/>
                <w:szCs w:val="20"/>
              </w:rPr>
              <w:t>⑤</w:t>
            </w:r>
            <w:r>
              <w:rPr>
                <w:rFonts w:hint="eastAsia" w:ascii="Times New Roman" w:hAnsi="Times New Roman"/>
                <w:kern w:val="0"/>
                <w:sz w:val="20"/>
                <w:szCs w:val="20"/>
              </w:rPr>
              <w:t>资金使用无截留、挤占、挪用、虚列支出等情况。</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以上情况每出现一例不符合要求的扣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　</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4　 </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按规定内容公开预决算信息，</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按规定时限公开预决算信息，</w:t>
            </w:r>
            <w:r>
              <w:rPr>
                <w:rFonts w:ascii="Times New Roman" w:hAnsi="Times New Roman"/>
                <w:kern w:val="0"/>
                <w:sz w:val="20"/>
                <w:szCs w:val="20"/>
              </w:rPr>
              <w:t>1</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1758"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基础信息完善性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tcPr>
          <w:p>
            <w:pPr>
              <w:widowControl/>
              <w:rPr>
                <w:rFonts w:ascii="Times New Roman" w:hAnsi="Times New Roman"/>
                <w:kern w:val="0"/>
                <w:sz w:val="20"/>
                <w:szCs w:val="20"/>
              </w:rPr>
            </w:pPr>
          </w:p>
          <w:p>
            <w:pPr>
              <w:widowControl/>
              <w:rPr>
                <w:rFonts w:hint="eastAsia"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基础数据信息和会计信息数据真实计，计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基础数据信息和会计信息数据完整，计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kern w:val="0"/>
                <w:sz w:val="20"/>
                <w:szCs w:val="20"/>
              </w:rPr>
              <w:t>③</w:t>
            </w:r>
            <w:r>
              <w:rPr>
                <w:rFonts w:hint="eastAsia" w:ascii="Times New Roman" w:hAnsi="Times New Roman"/>
                <w:kern w:val="0"/>
                <w:sz w:val="20"/>
                <w:szCs w:val="20"/>
              </w:rPr>
              <w:t>基础数据信息和会计信息数据准确，计</w:t>
            </w:r>
            <w:r>
              <w:rPr>
                <w:rFonts w:ascii="Times New Roman" w:hAnsi="Times New Roman"/>
                <w:kern w:val="0"/>
                <w:sz w:val="20"/>
                <w:szCs w:val="20"/>
              </w:rPr>
              <w:t>0.5</w:t>
            </w:r>
            <w:r>
              <w:rPr>
                <w:rFonts w:hint="eastAsia" w:ascii="Times New Roman" w:hAnsi="Times New Roman"/>
                <w:kern w:val="0"/>
                <w:sz w:val="20"/>
                <w:szCs w:val="20"/>
              </w:rPr>
              <w:t>。</w:t>
            </w:r>
          </w:p>
          <w:p>
            <w:pPr>
              <w:widowControl/>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2125"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restart"/>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已制定或具有资产管理制度，计</w:t>
            </w:r>
            <w:r>
              <w:rPr>
                <w:rFonts w:ascii="Times New Roman" w:hAnsi="Times New Roman"/>
                <w:kern w:val="0"/>
                <w:sz w:val="20"/>
                <w:szCs w:val="20"/>
              </w:rPr>
              <w:t>0.3</w:t>
            </w:r>
            <w:r>
              <w:rPr>
                <w:rFonts w:hint="eastAsia" w:ascii="Times New Roman" w:hAnsi="Times New Roman"/>
                <w:kern w:val="0"/>
                <w:sz w:val="20"/>
                <w:szCs w:val="20"/>
              </w:rPr>
              <w:t>分；</w:t>
            </w:r>
            <w:r>
              <w:rPr>
                <w:rFonts w:ascii="Times New Roman" w:hAnsi="Times New Roman"/>
                <w:kern w:val="0"/>
                <w:sz w:val="20"/>
                <w:szCs w:val="20"/>
              </w:rPr>
              <w:t xml:space="preserve">  ②</w:t>
            </w:r>
            <w:r>
              <w:rPr>
                <w:rFonts w:hint="eastAsia" w:ascii="Times New Roman" w:hAnsi="Times New Roman"/>
                <w:kern w:val="0"/>
                <w:sz w:val="20"/>
                <w:szCs w:val="20"/>
              </w:rPr>
              <w:t>相关资产管理制度是否合法、合规、完整，计</w:t>
            </w:r>
            <w:r>
              <w:rPr>
                <w:rFonts w:ascii="Times New Roman" w:hAnsi="Times New Roman"/>
                <w:kern w:val="0"/>
                <w:sz w:val="20"/>
                <w:szCs w:val="20"/>
              </w:rPr>
              <w:t>0.2</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相关资产管理制度是否得到有效执行，</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r>
      <w:tr>
        <w:tblPrEx>
          <w:tblCellMar>
            <w:top w:w="0" w:type="dxa"/>
            <w:left w:w="108" w:type="dxa"/>
            <w:bottom w:w="0" w:type="dxa"/>
            <w:right w:w="108" w:type="dxa"/>
          </w:tblCellMar>
        </w:tblPrEx>
        <w:trPr>
          <w:trHeight w:val="26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资产保存完整，计</w:t>
            </w:r>
            <w:r>
              <w:rPr>
                <w:rFonts w:ascii="Times New Roman" w:hAnsi="Times New Roman"/>
                <w:kern w:val="0"/>
                <w:sz w:val="20"/>
                <w:szCs w:val="20"/>
              </w:rPr>
              <w:t>1</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资产配置合理，符合省定标准，计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③</w:t>
            </w:r>
            <w:r>
              <w:rPr>
                <w:rFonts w:hint="eastAsia" w:ascii="Times New Roman" w:hAnsi="Times New Roman"/>
                <w:kern w:val="0"/>
                <w:sz w:val="20"/>
                <w:szCs w:val="20"/>
              </w:rPr>
              <w:t>资产处置规范，计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④</w:t>
            </w:r>
            <w:r>
              <w:rPr>
                <w:rFonts w:hint="eastAsia" w:ascii="Times New Roman" w:hAnsi="Times New Roman"/>
                <w:kern w:val="0"/>
                <w:sz w:val="20"/>
                <w:szCs w:val="20"/>
              </w:rPr>
              <w:t>资产账务管理合规，帐实相符，计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⑤</w:t>
            </w:r>
            <w:r>
              <w:rPr>
                <w:rFonts w:hint="eastAsia" w:ascii="Times New Roman" w:hAnsi="Times New Roman"/>
                <w:kern w:val="0"/>
                <w:sz w:val="20"/>
                <w:szCs w:val="20"/>
              </w:rPr>
              <w:t>资产有偿使用及处置收入及时足额上缴，计</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利用率为</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分，每减少</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0.2</w:t>
            </w:r>
            <w:r>
              <w:rPr>
                <w:rFonts w:hint="eastAsia" w:ascii="Times New Roman" w:hAnsi="Times New Roman"/>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固定资产利用率</w:t>
            </w:r>
            <w:r>
              <w:rPr>
                <w:rFonts w:ascii="Times New Roman" w:hAnsi="Times New Roman"/>
                <w:kern w:val="0"/>
                <w:sz w:val="20"/>
                <w:szCs w:val="20"/>
              </w:rPr>
              <w:t>=</w:t>
            </w:r>
            <w:r>
              <w:rPr>
                <w:rFonts w:hint="eastAsia" w:ascii="Times New Roman" w:hAnsi="Times New Roman"/>
                <w:kern w:val="0"/>
                <w:sz w:val="20"/>
                <w:szCs w:val="20"/>
              </w:rPr>
              <w:t>（实际在用固定资产总额</w:t>
            </w:r>
            <w:r>
              <w:rPr>
                <w:rFonts w:ascii="Times New Roman" w:hAnsi="Times New Roman"/>
                <w:kern w:val="0"/>
                <w:sz w:val="20"/>
                <w:szCs w:val="20"/>
              </w:rPr>
              <w:t>/</w:t>
            </w:r>
            <w:r>
              <w:rPr>
                <w:rFonts w:hint="eastAsia" w:ascii="Times New Roman" w:hAnsi="Times New Roman"/>
                <w:kern w:val="0"/>
                <w:sz w:val="20"/>
                <w:szCs w:val="20"/>
              </w:rPr>
              <w:t>所有固定资产总额）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产</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出</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职责履行</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10</w:t>
            </w:r>
            <w:r>
              <w:rPr>
                <w:rFonts w:hint="eastAsia" w:ascii="Times New Roman" w:hAnsi="Times New Roman"/>
                <w:kern w:val="0"/>
                <w:sz w:val="20"/>
                <w:szCs w:val="20"/>
              </w:rPr>
              <w:t>分；</w:t>
            </w:r>
            <w:r>
              <w:rPr>
                <w:rFonts w:ascii="Times New Roman" w:hAnsi="Times New Roman"/>
                <w:kern w:val="0"/>
                <w:sz w:val="20"/>
                <w:szCs w:val="20"/>
              </w:rPr>
              <w:t>95%</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8</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85%</w:t>
            </w:r>
            <w:r>
              <w:rPr>
                <w:rFonts w:hint="eastAsia" w:ascii="Times New Roman" w:hAnsi="Times New Roman"/>
                <w:kern w:val="0"/>
                <w:sz w:val="20"/>
                <w:szCs w:val="20"/>
              </w:rPr>
              <w:t>（含）</w:t>
            </w:r>
            <w:r>
              <w:rPr>
                <w:rFonts w:ascii="Times New Roman" w:hAnsi="Times New Roman"/>
                <w:kern w:val="0"/>
                <w:sz w:val="20"/>
                <w:szCs w:val="20"/>
              </w:rPr>
              <w:t>-95%</w:t>
            </w:r>
            <w:r>
              <w:rPr>
                <w:rFonts w:hint="eastAsia" w:ascii="Times New Roman" w:hAnsi="Times New Roman"/>
                <w:kern w:val="0"/>
                <w:sz w:val="20"/>
                <w:szCs w:val="20"/>
              </w:rPr>
              <w:t>，计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70%-85%</w:t>
            </w:r>
            <w:r>
              <w:rPr>
                <w:rFonts w:hint="eastAsia" w:ascii="Times New Roman" w:hAnsi="Times New Roman"/>
                <w:kern w:val="0"/>
                <w:sz w:val="20"/>
                <w:szCs w:val="20"/>
              </w:rPr>
              <w:t>，计</w:t>
            </w:r>
            <w:r>
              <w:rPr>
                <w:rFonts w:ascii="Times New Roman" w:hAnsi="Times New Roman"/>
                <w:kern w:val="0"/>
                <w:sz w:val="20"/>
                <w:szCs w:val="20"/>
              </w:rPr>
              <w:t>5</w:t>
            </w:r>
            <w:r>
              <w:rPr>
                <w:rFonts w:hint="eastAsia" w:ascii="Times New Roman" w:hAnsi="Times New Roman"/>
                <w:kern w:val="0"/>
                <w:sz w:val="20"/>
                <w:szCs w:val="20"/>
              </w:rPr>
              <w:t>分；低于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实际完成率</w:t>
            </w:r>
            <w:r>
              <w:rPr>
                <w:rFonts w:ascii="Times New Roman" w:hAnsi="Times New Roman"/>
                <w:kern w:val="0"/>
                <w:sz w:val="20"/>
                <w:szCs w:val="20"/>
              </w:rPr>
              <w:t>=</w:t>
            </w:r>
            <w:r>
              <w:rPr>
                <w:rFonts w:hint="eastAsia" w:ascii="Times New Roman" w:hAnsi="Times New Roman"/>
                <w:kern w:val="0"/>
                <w:sz w:val="20"/>
                <w:szCs w:val="20"/>
              </w:rPr>
              <w:t>（实际完成工作数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实际完成工作数：一定时期（年度或规划期）内部门实际完成工作任务的数量。</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10 </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完成及时率</w:t>
            </w:r>
            <w:r>
              <w:rPr>
                <w:rFonts w:ascii="Times New Roman" w:hAnsi="Times New Roman"/>
                <w:kern w:val="0"/>
                <w:sz w:val="20"/>
                <w:szCs w:val="20"/>
              </w:rPr>
              <w:t>=</w:t>
            </w:r>
            <w:r>
              <w:rPr>
                <w:rFonts w:hint="eastAsia" w:ascii="Times New Roman" w:hAnsi="Times New Roman"/>
                <w:kern w:val="0"/>
                <w:sz w:val="20"/>
                <w:szCs w:val="20"/>
              </w:rPr>
              <w:t>（及时完成实际工作数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6 </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质量达标率</w:t>
            </w:r>
            <w:r>
              <w:rPr>
                <w:rFonts w:ascii="Times New Roman" w:hAnsi="Times New Roman"/>
                <w:kern w:val="0"/>
                <w:sz w:val="20"/>
                <w:szCs w:val="20"/>
              </w:rPr>
              <w:t>=</w:t>
            </w:r>
            <w:r>
              <w:rPr>
                <w:rFonts w:hint="eastAsia" w:ascii="Times New Roman" w:hAnsi="Times New Roman"/>
                <w:kern w:val="0"/>
                <w:sz w:val="20"/>
                <w:szCs w:val="20"/>
              </w:rPr>
              <w:t>（质量达标实际工作数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8</w:t>
            </w:r>
          </w:p>
        </w:tc>
        <w:tc>
          <w:tcPr>
            <w:tcW w:w="2948"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根据市绩效办</w:t>
            </w:r>
            <w:r>
              <w:rPr>
                <w:rFonts w:ascii="Times New Roman" w:hAnsi="Times New Roman"/>
                <w:kern w:val="0"/>
                <w:sz w:val="20"/>
                <w:szCs w:val="20"/>
              </w:rPr>
              <w:t>2019</w:t>
            </w:r>
            <w:r>
              <w:rPr>
                <w:rFonts w:hint="eastAsia" w:ascii="Times New Roman" w:hAnsi="Times New Roman"/>
                <w:kern w:val="0"/>
                <w:sz w:val="20"/>
                <w:szCs w:val="20"/>
              </w:rPr>
              <w:t>年对各部门为民办实事和部门重点工程与重点工作考核分数折算。</w:t>
            </w:r>
          </w:p>
          <w:p>
            <w:pPr>
              <w:widowControl/>
              <w:jc w:val="left"/>
              <w:rPr>
                <w:rFonts w:hint="eastAsia" w:ascii="Times New Roman" w:hAnsi="Times New Roman"/>
                <w:kern w:val="0"/>
                <w:sz w:val="20"/>
                <w:szCs w:val="20"/>
              </w:rPr>
            </w:pPr>
            <w:r>
              <w:rPr>
                <w:rFonts w:hint="eastAsia" w:ascii="Times New Roman" w:hAnsi="Times New Roman"/>
                <w:kern w:val="0"/>
                <w:sz w:val="20"/>
                <w:szCs w:val="20"/>
              </w:rPr>
              <w:t>该项得分</w:t>
            </w:r>
            <w:r>
              <w:rPr>
                <w:rFonts w:ascii="Times New Roman" w:hAnsi="Times New Roman"/>
                <w:kern w:val="0"/>
                <w:sz w:val="20"/>
                <w:szCs w:val="20"/>
              </w:rPr>
              <w:t>=</w:t>
            </w:r>
            <w:r>
              <w:rPr>
                <w:rFonts w:hint="eastAsia" w:ascii="Times New Roman" w:hAnsi="Times New Roman"/>
                <w:kern w:val="0"/>
                <w:sz w:val="20"/>
                <w:szCs w:val="20"/>
              </w:rPr>
              <w:t>（绩效办对应部分考核得分</w:t>
            </w:r>
            <w:r>
              <w:rPr>
                <w:rFonts w:ascii="Times New Roman" w:hAnsi="Times New Roman"/>
                <w:kern w:val="0"/>
                <w:sz w:val="20"/>
                <w:szCs w:val="20"/>
              </w:rPr>
              <w:t>/</w:t>
            </w:r>
            <w:r>
              <w:rPr>
                <w:rFonts w:hint="eastAsia" w:ascii="Times New Roman" w:hAnsi="Times New Roman"/>
                <w:kern w:val="0"/>
                <w:sz w:val="20"/>
                <w:szCs w:val="20"/>
              </w:rPr>
              <w:t>该部分总分）</w:t>
            </w:r>
            <w:r>
              <w:rPr>
                <w:rFonts w:ascii="Times New Roman" w:hAnsi="Times New Roman"/>
                <w:kern w:val="0"/>
                <w:sz w:val="20"/>
                <w:szCs w:val="20"/>
              </w:rPr>
              <w:t>×8</w:t>
            </w:r>
            <w:r>
              <w:rPr>
                <w:rFonts w:hint="eastAsia" w:ascii="Times New Roman" w:hAnsi="Times New Roman"/>
                <w:kern w:val="0"/>
                <w:sz w:val="20"/>
                <w:szCs w:val="20"/>
              </w:rPr>
              <w:t>。</w:t>
            </w:r>
          </w:p>
          <w:p>
            <w:pPr>
              <w:widowControl/>
              <w:jc w:val="left"/>
              <w:rPr>
                <w:rFonts w:hint="eastAsia" w:ascii="Times New Roman" w:hAnsi="Times New Roman"/>
                <w:kern w:val="0"/>
                <w:sz w:val="20"/>
                <w:szCs w:val="20"/>
              </w:rPr>
            </w:pP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重点工作办结率</w:t>
            </w:r>
            <w:r>
              <w:rPr>
                <w:rFonts w:ascii="Times New Roman" w:hAnsi="Times New Roman"/>
                <w:kern w:val="0"/>
                <w:sz w:val="20"/>
                <w:szCs w:val="20"/>
              </w:rPr>
              <w:t>=</w:t>
            </w:r>
            <w:r>
              <w:rPr>
                <w:rFonts w:hint="eastAsia" w:ascii="Times New Roman" w:hAnsi="Times New Roman"/>
                <w:kern w:val="0"/>
                <w:sz w:val="20"/>
                <w:szCs w:val="20"/>
              </w:rPr>
              <w:t>（重点工作实际完成数</w:t>
            </w:r>
            <w:r>
              <w:rPr>
                <w:rFonts w:ascii="Times New Roman" w:hAnsi="Times New Roman"/>
                <w:kern w:val="0"/>
                <w:sz w:val="20"/>
                <w:szCs w:val="20"/>
              </w:rPr>
              <w:t>/</w:t>
            </w:r>
            <w:r>
              <w:rPr>
                <w:rFonts w:hint="eastAsia" w:ascii="Times New Roman" w:hAnsi="Times New Roman"/>
                <w:kern w:val="0"/>
                <w:sz w:val="20"/>
                <w:szCs w:val="20"/>
              </w:rPr>
              <w:t>交办或下达数）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8 </w:t>
            </w:r>
          </w:p>
        </w:tc>
      </w:tr>
      <w:tr>
        <w:tblPrEx>
          <w:tblCellMar>
            <w:top w:w="0" w:type="dxa"/>
            <w:left w:w="108" w:type="dxa"/>
            <w:bottom w:w="0" w:type="dxa"/>
            <w:right w:w="108" w:type="dxa"/>
          </w:tblCellMar>
        </w:tblPrEx>
        <w:trPr>
          <w:trHeight w:val="452"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效</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果</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履职效益</w:t>
            </w:r>
          </w:p>
          <w:p>
            <w:pPr>
              <w:widowControl/>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经济效益</w:t>
            </w:r>
          </w:p>
        </w:tc>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根据绩效目标设置，项目实施对经济发展所带来的直接或间接影响情况等效益进行评分</w:t>
            </w:r>
          </w:p>
          <w:p>
            <w:pPr>
              <w:widowControl/>
              <w:jc w:val="left"/>
              <w:rPr>
                <w:rFonts w:hint="default"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根据被评价单位实际情况选取以下下指标进行评分：促进素质教育培训</w:t>
            </w:r>
          </w:p>
        </w:tc>
        <w:tc>
          <w:tcPr>
            <w:tcW w:w="6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社会效益</w:t>
            </w:r>
          </w:p>
        </w:tc>
        <w:tc>
          <w:tcPr>
            <w:tcW w:w="4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根据绩效目标设置，项目实施对社会发展所带来的直接或间接影响情况等效益进行评分</w:t>
            </w:r>
          </w:p>
          <w:p>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Times New Roman"/>
                <w:kern w:val="0"/>
                <w:sz w:val="20"/>
                <w:szCs w:val="20"/>
                <w:lang w:val="en-US"/>
              </w:rPr>
            </w:pPr>
            <w:r>
              <w:rPr>
                <w:rFonts w:hint="eastAsia" w:ascii="Times New Roman" w:hAnsi="Times New Roman" w:eastAsia="Times New Roman" w:cs="Times New Roman"/>
                <w:kern w:val="0"/>
                <w:sz w:val="20"/>
                <w:szCs w:val="20"/>
                <w:lang w:val="en-US" w:eastAsia="zh-CN" w:bidi="ar-SA"/>
              </w:rPr>
              <w:t>根据被评价单位实际情况选取以下下指标进行评分：开展思想道德教育活动</w:t>
            </w:r>
          </w:p>
        </w:tc>
        <w:tc>
          <w:tcPr>
            <w:tcW w:w="6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5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生态效益</w:t>
            </w:r>
          </w:p>
        </w:tc>
        <w:tc>
          <w:tcPr>
            <w:tcW w:w="48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根据绩效目标设置，项目实施对生态效益改善明显程度所带来的直接或间接影响情况等效益进行评分</w:t>
            </w:r>
          </w:p>
          <w:p>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Times New Roman"/>
                <w:kern w:val="0"/>
                <w:sz w:val="20"/>
                <w:szCs w:val="20"/>
                <w:lang w:val="en-US"/>
              </w:rPr>
            </w:pPr>
          </w:p>
        </w:tc>
        <w:tc>
          <w:tcPr>
            <w:tcW w:w="6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行政效能</w:t>
            </w:r>
          </w:p>
        </w:tc>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6</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kern w:val="0"/>
                <w:sz w:val="20"/>
                <w:szCs w:val="20"/>
              </w:rPr>
            </w:pPr>
          </w:p>
          <w:p>
            <w:pPr>
              <w:widowControl/>
              <w:jc w:val="left"/>
              <w:rPr>
                <w:rFonts w:hint="eastAsia" w:ascii="Times New Roman" w:hAnsi="Times New Roman"/>
                <w:kern w:val="0"/>
                <w:sz w:val="20"/>
                <w:szCs w:val="20"/>
              </w:rPr>
            </w:pPr>
            <w:r>
              <w:rPr>
                <w:rFonts w:hint="eastAsia" w:ascii="Times New Roman" w:hAnsi="Times New Roman"/>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hint="eastAsia" w:ascii="Times New Roman" w:hAnsi="Times New Roman"/>
                <w:kern w:val="0"/>
                <w:sz w:val="20"/>
                <w:szCs w:val="20"/>
              </w:rPr>
              <w:t>分；一般</w:t>
            </w:r>
            <w:r>
              <w:rPr>
                <w:rFonts w:ascii="Times New Roman" w:hAnsi="Times New Roman"/>
                <w:kern w:val="0"/>
                <w:sz w:val="20"/>
                <w:szCs w:val="20"/>
              </w:rPr>
              <w:t>3</w:t>
            </w:r>
            <w:r>
              <w:rPr>
                <w:rFonts w:hint="eastAsia" w:ascii="Times New Roman" w:hAnsi="Times New Roman"/>
                <w:kern w:val="0"/>
                <w:sz w:val="20"/>
                <w:szCs w:val="20"/>
              </w:rPr>
              <w:t>分；无效果或者效果不明显计</w:t>
            </w:r>
            <w:r>
              <w:rPr>
                <w:rFonts w:ascii="Times New Roman" w:hAnsi="Times New Roman"/>
                <w:kern w:val="0"/>
                <w:sz w:val="20"/>
                <w:szCs w:val="20"/>
              </w:rPr>
              <w:t>0</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kern w:val="0"/>
                <w:sz w:val="20"/>
                <w:szCs w:val="20"/>
              </w:rPr>
            </w:pPr>
          </w:p>
        </w:tc>
        <w:tc>
          <w:tcPr>
            <w:tcW w:w="637" w:type="dxa"/>
            <w:tcBorders>
              <w:top w:val="single" w:color="auto" w:sz="4" w:space="0"/>
              <w:left w:val="single" w:color="auto" w:sz="4" w:space="0"/>
              <w:bottom w:val="nil"/>
              <w:right w:val="single" w:color="auto" w:sz="4" w:space="0"/>
            </w:tcBorders>
            <w:vAlign w:val="center"/>
          </w:tcPr>
          <w:p>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 6</w:t>
            </w:r>
          </w:p>
        </w:tc>
      </w:tr>
      <w:tr>
        <w:tblPrEx>
          <w:tblCellMar>
            <w:top w:w="0" w:type="dxa"/>
            <w:left w:w="108" w:type="dxa"/>
            <w:bottom w:w="0" w:type="dxa"/>
            <w:right w:w="108" w:type="dxa"/>
          </w:tblCellMar>
        </w:tblPrEx>
        <w:trPr>
          <w:trHeight w:val="162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社会公众或服务对象满意度</w:t>
            </w:r>
          </w:p>
        </w:tc>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9</w:t>
            </w:r>
          </w:p>
        </w:tc>
        <w:tc>
          <w:tcPr>
            <w:tcW w:w="294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90%</w:t>
            </w:r>
            <w:r>
              <w:rPr>
                <w:rFonts w:hint="eastAsia" w:ascii="Times New Roman" w:hAnsi="Times New Roman"/>
                <w:kern w:val="0"/>
                <w:sz w:val="20"/>
                <w:szCs w:val="20"/>
              </w:rPr>
              <w:t>（含）以上计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80%</w:t>
            </w:r>
            <w:r>
              <w:rPr>
                <w:rFonts w:hint="eastAsia" w:ascii="Times New Roman" w:hAnsi="Times New Roman"/>
                <w:kern w:val="0"/>
                <w:sz w:val="20"/>
                <w:szCs w:val="20"/>
              </w:rPr>
              <w:t>（含）</w:t>
            </w:r>
            <w:r>
              <w:rPr>
                <w:rFonts w:ascii="Times New Roman" w:hAnsi="Times New Roman"/>
                <w:kern w:val="0"/>
                <w:sz w:val="20"/>
                <w:szCs w:val="20"/>
              </w:rPr>
              <w:t>-90%</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rPr>
              <w:t>社会公众或服务对象是指部门（单位）履行职责而影响到的部门、群体或个人，一般采取社会调查的方式。</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9 　</w:t>
            </w:r>
          </w:p>
        </w:tc>
      </w:tr>
    </w:tbl>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hint="eastAsia" w:ascii="Times New Roman" w:hAnsi="Times New Roman" w:eastAsia="仿宋"/>
          <w:color w:val="000000"/>
          <w:kern w:val="0"/>
          <w:sz w:val="32"/>
          <w:szCs w:val="32"/>
          <w:lang w:val="en-US" w:eastAsia="zh-CN"/>
        </w:rPr>
        <w:t>2</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衡阳市青少年宫</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36</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36</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lang w:val="en-US" w:eastAsia="zh-CN"/>
              </w:rPr>
              <w:t>20</w:t>
            </w:r>
            <w:r>
              <w:rPr>
                <w:rFonts w:hint="eastAsia"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1</w:t>
            </w:r>
            <w:r>
              <w:rPr>
                <w:rFonts w:hint="eastAsia" w:ascii="Times New Roman" w:hAnsi="Times New Roman"/>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5,477,967.04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4,924,300.00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8,542,821.36</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709,852.74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861,300.00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895,096.10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250,357.80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861300.00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365,466.70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会议费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12,400.00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hint="eastAsia" w:ascii="Times New Roman" w:hAnsi="Times New Roman"/>
                <w:kern w:val="0"/>
                <w:szCs w:val="21"/>
                <w:lang w:eastAsia="zh-CN"/>
              </w:rPr>
            </w:pPr>
            <w:r>
              <w:rPr>
                <w:rFonts w:hint="eastAsia" w:ascii="Times New Roman" w:hAnsi="Times New Roman"/>
                <w:kern w:val="0"/>
                <w:szCs w:val="21"/>
                <w:lang w:eastAsia="zh-CN"/>
              </w:rPr>
              <w:t>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23,800.00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16,962.00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印刷费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3,407.90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18,300.00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5,327.40</w:t>
            </w:r>
          </w:p>
        </w:tc>
      </w:tr>
      <w:tr>
        <w:tblPrEx>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维修费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212,043.70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500,000.00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220,547.40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both"/>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19,630.00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41,400.00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21,392.60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工会经费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rPr>
              <w:t>260,600.00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265,400.00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265,400.00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1、公务用车购置和维护经费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420" w:firstLineChars="200"/>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214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both"/>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w:t>
            </w:r>
            <w:r>
              <w:rPr>
                <w:rFonts w:hint="eastAsia" w:ascii="Times New Roman" w:hAnsi="Times New Roman"/>
                <w:kern w:val="0"/>
                <w:szCs w:val="21"/>
                <w:lang w:eastAsia="zh-CN"/>
              </w:rPr>
              <w:t>严格把控单位日常支出的审核。</w:t>
            </w:r>
            <w:r>
              <w:rPr>
                <w:rFonts w:hint="eastAsia" w:ascii="Times New Roman" w:hAnsi="Times New Roman"/>
                <w:kern w:val="0"/>
                <w:szCs w:val="21"/>
                <w:lang w:val="en-US" w:eastAsia="zh-CN"/>
              </w:rPr>
              <w:t>2、坚决以预算为准绳，做到支出绝不超预算。</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8"/>
        <w:tblW w:w="9999" w:type="dxa"/>
        <w:jc w:val="center"/>
        <w:tblLayout w:type="fixed"/>
        <w:tblCellMar>
          <w:top w:w="0" w:type="dxa"/>
          <w:left w:w="108" w:type="dxa"/>
          <w:bottom w:w="0" w:type="dxa"/>
          <w:right w:w="108" w:type="dxa"/>
        </w:tblCellMar>
      </w:tblPr>
      <w:tblGrid>
        <w:gridCol w:w="1113"/>
        <w:gridCol w:w="1062"/>
        <w:gridCol w:w="950"/>
        <w:gridCol w:w="1338"/>
        <w:gridCol w:w="1987"/>
        <w:gridCol w:w="1438"/>
        <w:gridCol w:w="675"/>
        <w:gridCol w:w="465"/>
        <w:gridCol w:w="971"/>
      </w:tblGrid>
      <w:tr>
        <w:tblPrEx>
          <w:tblCellMar>
            <w:top w:w="0" w:type="dxa"/>
            <w:left w:w="108" w:type="dxa"/>
            <w:bottom w:w="0" w:type="dxa"/>
            <w:right w:w="108" w:type="dxa"/>
          </w:tblCellMar>
        </w:tblPrEx>
        <w:trPr>
          <w:trHeight w:val="549" w:hRule="atLeast"/>
          <w:jc w:val="center"/>
        </w:trPr>
        <w:tc>
          <w:tcPr>
            <w:tcW w:w="9999" w:type="dxa"/>
            <w:gridSpan w:val="9"/>
            <w:tcBorders>
              <w:top w:val="nil"/>
              <w:left w:val="nil"/>
              <w:bottom w:val="nil"/>
              <w:right w:val="nil"/>
            </w:tcBorders>
            <w:shd w:val="clear" w:color="auto" w:fill="auto"/>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（2021年度）</w:t>
            </w:r>
          </w:p>
        </w:tc>
      </w:tr>
      <w:tr>
        <w:tblPrEx>
          <w:tblCellMar>
            <w:top w:w="0" w:type="dxa"/>
            <w:left w:w="108" w:type="dxa"/>
            <w:bottom w:w="0" w:type="dxa"/>
            <w:right w:w="108" w:type="dxa"/>
          </w:tblCellMar>
        </w:tblPrEx>
        <w:trPr>
          <w:trHeight w:val="480"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部门名称</w:t>
            </w: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kern w:val="0"/>
                <w:sz w:val="20"/>
                <w:szCs w:val="20"/>
                <w:lang w:val="en-US" w:eastAsia="zh-CN"/>
              </w:rPr>
              <w:t>衡阳市青少年宫</w:t>
            </w:r>
            <w:r>
              <w:rPr>
                <w:rFonts w:hint="eastAsia" w:ascii="宋体" w:hAnsi="宋体" w:eastAsia="宋体" w:cs="宋体"/>
                <w:color w:val="000000"/>
                <w:kern w:val="0"/>
                <w:szCs w:val="21"/>
              </w:rPr>
              <w:t>　</w:t>
            </w:r>
          </w:p>
        </w:tc>
        <w:tc>
          <w:tcPr>
            <w:tcW w:w="14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执行数</w:t>
            </w:r>
          </w:p>
        </w:tc>
        <w:tc>
          <w:tcPr>
            <w:tcW w:w="675" w:type="dxa"/>
            <w:tcBorders>
              <w:top w:val="single" w:color="auto" w:sz="4" w:space="0"/>
              <w:left w:val="nil"/>
              <w:bottom w:val="single" w:color="auto" w:sz="4" w:space="0"/>
              <w:right w:val="single" w:color="000000" w:sz="4" w:space="0"/>
            </w:tcBorders>
            <w:shd w:val="clear" w:color="auto" w:fill="auto"/>
            <w:noWrap/>
            <w:vAlign w:val="top"/>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资金执行率</w:t>
            </w:r>
          </w:p>
        </w:tc>
        <w:tc>
          <w:tcPr>
            <w:tcW w:w="46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得分</w:t>
            </w:r>
          </w:p>
        </w:tc>
      </w:tr>
      <w:tr>
        <w:tblPrEx>
          <w:tblCellMar>
            <w:top w:w="0" w:type="dxa"/>
            <w:left w:w="108" w:type="dxa"/>
            <w:bottom w:w="0" w:type="dxa"/>
            <w:right w:w="108" w:type="dxa"/>
          </w:tblCellMar>
        </w:tblPrEx>
        <w:trPr>
          <w:trHeight w:val="395" w:hRule="atLeast"/>
          <w:jc w:val="center"/>
        </w:trPr>
        <w:tc>
          <w:tcPr>
            <w:tcW w:w="1113" w:type="dxa"/>
            <w:vMerge w:val="restart"/>
            <w:tcBorders>
              <w:top w:val="nil"/>
              <w:left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年度预算</w:t>
            </w:r>
          </w:p>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申请（万元）</w:t>
            </w: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资金总额：</w:t>
            </w:r>
            <w:r>
              <w:rPr>
                <w:rFonts w:hint="eastAsia" w:ascii="宋体" w:hAnsi="宋体" w:eastAsia="宋体" w:cs="宋体"/>
                <w:kern w:val="0"/>
                <w:sz w:val="20"/>
                <w:szCs w:val="20"/>
                <w:lang w:val="en-US" w:eastAsia="zh-CN"/>
              </w:rPr>
              <w:t>2166.57</w:t>
            </w:r>
            <w:r>
              <w:rPr>
                <w:rFonts w:hint="eastAsia" w:ascii="宋体" w:hAnsi="宋体" w:eastAsia="宋体" w:cs="宋体"/>
                <w:kern w:val="0"/>
                <w:sz w:val="20"/>
                <w:szCs w:val="20"/>
              </w:rPr>
              <w:t>万元</w:t>
            </w:r>
          </w:p>
        </w:tc>
        <w:tc>
          <w:tcPr>
            <w:tcW w:w="1438"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2166.57万元</w:t>
            </w:r>
          </w:p>
        </w:tc>
        <w:tc>
          <w:tcPr>
            <w:tcW w:w="67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w:t>
            </w:r>
          </w:p>
        </w:tc>
        <w:tc>
          <w:tcPr>
            <w:tcW w:w="465"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11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按收入性质分：</w:t>
            </w:r>
            <w:r>
              <w:rPr>
                <w:rFonts w:hint="eastAsia" w:ascii="宋体" w:hAnsi="宋体" w:eastAsia="宋体" w:cs="宋体"/>
                <w:color w:val="000000"/>
                <w:kern w:val="0"/>
                <w:szCs w:val="21"/>
                <w:lang w:val="en-US" w:eastAsia="zh-CN"/>
              </w:rPr>
              <w:t xml:space="preserve">                         </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按指出性质分：</w:t>
            </w:r>
          </w:p>
        </w:tc>
      </w:tr>
      <w:tr>
        <w:tblPrEx>
          <w:tblCellMar>
            <w:top w:w="0" w:type="dxa"/>
            <w:left w:w="108" w:type="dxa"/>
            <w:bottom w:w="0" w:type="dxa"/>
            <w:right w:w="108" w:type="dxa"/>
          </w:tblCellMar>
        </w:tblPrEx>
        <w:trPr>
          <w:trHeight w:val="355" w:hRule="atLeast"/>
          <w:jc w:val="center"/>
        </w:trPr>
        <w:tc>
          <w:tcPr>
            <w:tcW w:w="111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其中： 一般公共预算收入：</w:t>
            </w:r>
            <w:r>
              <w:rPr>
                <w:rFonts w:hint="eastAsia" w:ascii="宋体" w:hAnsi="宋体" w:eastAsia="宋体" w:cs="宋体"/>
                <w:kern w:val="0"/>
                <w:sz w:val="20"/>
                <w:szCs w:val="20"/>
                <w:lang w:val="en-US" w:eastAsia="zh-CN"/>
              </w:rPr>
              <w:t>492.43</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其中：基本支出：</w:t>
            </w:r>
            <w:r>
              <w:rPr>
                <w:rFonts w:hint="eastAsia" w:ascii="宋体" w:hAnsi="宋体" w:eastAsia="宋体" w:cs="宋体"/>
                <w:kern w:val="0"/>
                <w:sz w:val="20"/>
                <w:szCs w:val="20"/>
                <w:lang w:val="en-US" w:eastAsia="zh-CN"/>
              </w:rPr>
              <w:t>2116.57</w:t>
            </w:r>
          </w:p>
        </w:tc>
      </w:tr>
      <w:tr>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eastAsia" w:ascii="宋体" w:hAnsi="宋体" w:eastAsia="宋体" w:cs="宋体"/>
                <w:color w:val="000000"/>
                <w:kern w:val="0"/>
                <w:szCs w:val="21"/>
              </w:rPr>
            </w:pPr>
            <w:r>
              <w:rPr>
                <w:rFonts w:hint="eastAsia" w:ascii="宋体" w:hAnsi="宋体" w:eastAsia="宋体" w:cs="宋体"/>
                <w:color w:val="000000"/>
                <w:kern w:val="0"/>
                <w:szCs w:val="21"/>
              </w:rPr>
              <w:t>政府性基金拨款：</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840" w:firstLineChars="4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项目支出：</w:t>
            </w:r>
            <w:r>
              <w:rPr>
                <w:rFonts w:hint="eastAsia" w:ascii="宋体" w:hAnsi="宋体" w:eastAsia="宋体" w:cs="宋体"/>
                <w:kern w:val="0"/>
                <w:sz w:val="20"/>
                <w:szCs w:val="20"/>
                <w:lang w:val="en-US" w:eastAsia="zh-CN"/>
              </w:rPr>
              <w:t>50</w:t>
            </w:r>
          </w:p>
        </w:tc>
      </w:tr>
      <w:tr>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纳入专户管理的非税收入拨款：</w:t>
            </w:r>
            <w:r>
              <w:rPr>
                <w:rFonts w:hint="eastAsia" w:ascii="宋体" w:hAnsi="宋体" w:eastAsia="宋体" w:cs="宋体"/>
                <w:kern w:val="0"/>
                <w:sz w:val="20"/>
                <w:szCs w:val="20"/>
                <w:lang w:val="en-US" w:eastAsia="zh-CN"/>
              </w:rPr>
              <w:t>144.72</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375" w:hRule="atLeast"/>
          <w:jc w:val="center"/>
        </w:trPr>
        <w:tc>
          <w:tcPr>
            <w:tcW w:w="1113"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其他资金：</w:t>
            </w:r>
            <w:r>
              <w:rPr>
                <w:rFonts w:hint="eastAsia" w:ascii="宋体" w:hAnsi="宋体" w:eastAsia="宋体" w:cs="宋体"/>
                <w:kern w:val="0"/>
                <w:sz w:val="20"/>
                <w:szCs w:val="20"/>
                <w:lang w:val="en-US" w:eastAsia="zh-CN"/>
              </w:rPr>
              <w:t>1529.42</w:t>
            </w:r>
          </w:p>
        </w:tc>
        <w:tc>
          <w:tcPr>
            <w:tcW w:w="35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1680" w:firstLineChars="800"/>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609"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部门职能职责概述</w:t>
            </w:r>
          </w:p>
        </w:tc>
        <w:tc>
          <w:tcPr>
            <w:tcW w:w="8886"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kern w:val="0"/>
                <w:sz w:val="18"/>
                <w:szCs w:val="18"/>
                <w:lang w:val="en-US" w:eastAsia="zh-CN"/>
              </w:rPr>
              <w:t>负责组织开展文化教育活动，繁荣青少年文化教育事业。文化宣传、文化艺术交流、文艺活动组织；青少年思想道德教育、素质教育、社会实践、青少年社团活动协调组织及相关培训。</w:t>
            </w:r>
          </w:p>
        </w:tc>
      </w:tr>
      <w:tr>
        <w:tblPrEx>
          <w:tblCellMar>
            <w:top w:w="0" w:type="dxa"/>
            <w:left w:w="108" w:type="dxa"/>
            <w:bottom w:w="0" w:type="dxa"/>
            <w:right w:w="108" w:type="dxa"/>
          </w:tblCellMar>
        </w:tblPrEx>
        <w:trPr>
          <w:trHeight w:val="3107"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整体绩效</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目标</w:t>
            </w:r>
          </w:p>
        </w:tc>
        <w:tc>
          <w:tcPr>
            <w:tcW w:w="8886"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目标1：</w:t>
            </w:r>
            <w:r>
              <w:rPr>
                <w:rFonts w:hint="eastAsia" w:ascii="宋体" w:hAnsi="宋体" w:eastAsia="宋体" w:cs="宋体"/>
                <w:kern w:val="0"/>
                <w:sz w:val="18"/>
                <w:szCs w:val="18"/>
                <w:lang w:val="en-US" w:eastAsia="zh-CN"/>
              </w:rPr>
              <w:t>以建党100周年和全面建成小康社会为主线，开展各类主题教育公益活动20次以上；</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目标2：</w:t>
            </w:r>
            <w:r>
              <w:rPr>
                <w:rFonts w:hint="eastAsia" w:ascii="宋体" w:hAnsi="宋体" w:eastAsia="宋体" w:cs="宋体"/>
                <w:kern w:val="0"/>
                <w:sz w:val="18"/>
                <w:szCs w:val="18"/>
                <w:lang w:val="en-US" w:eastAsia="zh-CN"/>
              </w:rPr>
              <w:t>集中采购专业设施设备，招聘相关专业人员，做好2021年秋季青少年活动中心营运开放筹备工作；</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目标3：</w:t>
            </w:r>
            <w:r>
              <w:rPr>
                <w:rFonts w:hint="eastAsia" w:ascii="宋体" w:hAnsi="宋体" w:eastAsia="宋体" w:cs="宋体"/>
                <w:kern w:val="0"/>
                <w:sz w:val="18"/>
                <w:szCs w:val="18"/>
                <w:lang w:val="en-US" w:eastAsia="zh-CN"/>
              </w:rPr>
              <w:t>做好素质教育工作，深化课程改革，创新运营方式，引进中国宫协体智能项目，争取机器人考级项目落地。</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目标4 ：抓好雏雁志愿者服务总队、艺术团、书画院、文学社的建设工作；</w:t>
            </w:r>
          </w:p>
          <w:p>
            <w:pPr>
              <w:widowControl/>
              <w:jc w:val="lef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目标5：加强内部管理，提升干部职工队伍的“四个意识”，加大人才队伍建设力度，大力提升教师队伍综合素质，改进完善外聘教师管理方式。</w:t>
            </w:r>
          </w:p>
          <w:p>
            <w:pPr>
              <w:widowControl/>
              <w:jc w:val="left"/>
              <w:rPr>
                <w:rFonts w:hint="eastAsia" w:ascii="宋体" w:hAnsi="宋体" w:eastAsia="宋体" w:cs="宋体"/>
                <w:color w:val="000000"/>
                <w:kern w:val="0"/>
                <w:szCs w:val="21"/>
              </w:rPr>
            </w:pPr>
            <w:r>
              <w:rPr>
                <w:rFonts w:hint="eastAsia" w:ascii="宋体" w:hAnsi="宋体" w:eastAsia="宋体" w:cs="宋体"/>
                <w:kern w:val="0"/>
                <w:sz w:val="18"/>
                <w:szCs w:val="18"/>
                <w:lang w:val="en-US" w:eastAsia="zh-CN"/>
              </w:rPr>
              <w:t>目标6：做好文明创建工作，进一步升级青宫大院设施设备，加强物业管理，优化内外环境，加强综合治理。</w:t>
            </w:r>
          </w:p>
        </w:tc>
      </w:tr>
      <w:tr>
        <w:tblPrEx>
          <w:tblCellMar>
            <w:top w:w="0" w:type="dxa"/>
            <w:left w:w="108" w:type="dxa"/>
            <w:bottom w:w="0" w:type="dxa"/>
            <w:right w:w="108" w:type="dxa"/>
          </w:tblCellMar>
        </w:tblPrEx>
        <w:trPr>
          <w:trHeight w:val="763" w:hRule="atLeast"/>
          <w:jc w:val="center"/>
        </w:trPr>
        <w:tc>
          <w:tcPr>
            <w:tcW w:w="1113"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部门整体支出年度绩效指标</w:t>
            </w:r>
          </w:p>
        </w:tc>
        <w:tc>
          <w:tcPr>
            <w:tcW w:w="106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三级指标</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指标值</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完成值</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得分</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偏差原因</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分析及</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产出</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50</w:t>
            </w:r>
            <w:r>
              <w:rPr>
                <w:rFonts w:hint="eastAsia" w:ascii="宋体" w:hAnsi="宋体" w:eastAsia="宋体" w:cs="宋体"/>
                <w:color w:val="000000"/>
                <w:kern w:val="0"/>
                <w:szCs w:val="21"/>
              </w:rPr>
              <w:t>分)</w:t>
            </w: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指标一：活动开展</w:t>
            </w:r>
          </w:p>
          <w:p>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指标二：培训人数</w:t>
            </w:r>
          </w:p>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指标三：外出参赛</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指标一：开展红色之旅、文艺展演、作文竞赛、书画比赛、故事会、主题交流、志愿服务等活动30个以上；</w:t>
            </w:r>
          </w:p>
          <w:p>
            <w:pPr>
              <w:widowControl/>
              <w:jc w:val="center"/>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指标二：全年培训人数达1.5万人以上；指标三：外出参与舞蹈、文化等赛事活动5个以上</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rPr>
            </w:pPr>
            <w:r>
              <w:rPr>
                <w:rFonts w:hint="eastAsia" w:ascii="宋体" w:hAnsi="宋体" w:eastAsia="宋体" w:cs="宋体"/>
                <w:color w:val="000000"/>
                <w:kern w:val="0"/>
                <w:sz w:val="20"/>
                <w:szCs w:val="20"/>
                <w:lang w:val="en-US" w:eastAsia="zh-CN"/>
              </w:rPr>
              <w:t>1、</w:t>
            </w:r>
            <w:r>
              <w:rPr>
                <w:rFonts w:hint="eastAsia" w:ascii="宋体" w:hAnsi="宋体" w:eastAsia="宋体" w:cs="宋体"/>
                <w:kern w:val="0"/>
                <w:sz w:val="20"/>
                <w:szCs w:val="20"/>
                <w:lang w:val="en-US" w:eastAsia="zh-CN"/>
              </w:rPr>
              <w:t>已开展红色之旅、文艺展演、作文竞赛、书画比赛、故事会、主题交流、志愿服务等活动34个以上;</w:t>
            </w:r>
            <w:r>
              <w:rPr>
                <w:rFonts w:hint="eastAsia" w:ascii="宋体" w:hAnsi="宋体" w:eastAsia="宋体" w:cs="宋体"/>
                <w:color w:val="000000"/>
                <w:kern w:val="0"/>
                <w:sz w:val="20"/>
                <w:szCs w:val="20"/>
                <w:lang w:val="en-US" w:eastAsia="zh-CN"/>
              </w:rPr>
              <w:t>2、</w:t>
            </w:r>
            <w:r>
              <w:rPr>
                <w:rFonts w:hint="eastAsia" w:ascii="宋体" w:hAnsi="宋体" w:eastAsia="宋体" w:cs="宋体"/>
                <w:kern w:val="0"/>
                <w:sz w:val="20"/>
                <w:szCs w:val="20"/>
                <w:lang w:val="en-US" w:eastAsia="zh-CN"/>
              </w:rPr>
              <w:t>全年培训人数达1.4万人以上；</w:t>
            </w:r>
            <w:r>
              <w:rPr>
                <w:rFonts w:hint="eastAsia" w:ascii="宋体" w:hAnsi="宋体" w:eastAsia="宋体" w:cs="宋体"/>
                <w:color w:val="000000"/>
                <w:kern w:val="0"/>
                <w:sz w:val="20"/>
                <w:szCs w:val="20"/>
                <w:lang w:val="en-US" w:eastAsia="zh-CN"/>
              </w:rPr>
              <w:t>3、</w:t>
            </w:r>
            <w:r>
              <w:rPr>
                <w:rFonts w:hint="eastAsia" w:ascii="宋体" w:hAnsi="宋体" w:eastAsia="宋体" w:cs="宋体"/>
                <w:kern w:val="0"/>
                <w:sz w:val="20"/>
                <w:szCs w:val="20"/>
                <w:lang w:val="en-US" w:eastAsia="zh-CN"/>
              </w:rPr>
              <w:t>外出参与舞蹈、文化等赛事活动10个以上</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20</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质量指标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指标一：活动开展</w:t>
            </w:r>
          </w:p>
          <w:p>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指标二：合作项目落地</w:t>
            </w:r>
          </w:p>
          <w:p>
            <w:pPr>
              <w:numPr>
                <w:ilvl w:val="0"/>
                <w:numId w:val="0"/>
              </w:numP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指标三：参赛获奖</w:t>
            </w:r>
          </w:p>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指标四：提高教学环境</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指标一：成功开展上述活动；</w:t>
            </w:r>
          </w:p>
          <w:p>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指标二：创新运营方式，推进合作运营项目落地；</w:t>
            </w:r>
          </w:p>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指标三：外出参赛获得一等奖3个以上</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引进武术、象棋等多个新型课程，并取得多项赛事名次</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时效指标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执行时限</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2021年度完成上述指标。</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成本指标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成本控制</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控制在2021年全年预算内。</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未超过预算</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restart"/>
            <w:tcBorders>
              <w:top w:val="single" w:color="auto" w:sz="4" w:space="0"/>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效益</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p>
            <w:pPr>
              <w:jc w:val="left"/>
              <w:rPr>
                <w:rFonts w:hint="eastAsia" w:ascii="宋体" w:hAnsi="宋体" w:eastAsia="宋体" w:cs="宋体"/>
                <w:color w:val="000000"/>
                <w:kern w:val="0"/>
                <w:szCs w:val="21"/>
              </w:rPr>
            </w:pPr>
          </w:p>
          <w:p>
            <w:pPr>
              <w:widowControl/>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经济效</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非税收入</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创造144.72万元的非税收入</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全年非税收入</w:t>
            </w:r>
            <w:r>
              <w:rPr>
                <w:rFonts w:hint="eastAsia" w:ascii="宋体" w:hAnsi="宋体" w:eastAsia="宋体" w:cs="宋体"/>
                <w:color w:val="000000"/>
                <w:kern w:val="0"/>
                <w:sz w:val="20"/>
                <w:szCs w:val="20"/>
                <w:lang w:val="en-US" w:eastAsia="zh-CN"/>
              </w:rPr>
              <w:t>102.73</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8</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lang w:eastAsia="zh-CN"/>
              </w:rPr>
              <w:t>因疫情因素，收入减少</w:t>
            </w: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社会效</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社会影响力</w:t>
            </w:r>
          </w:p>
        </w:tc>
        <w:tc>
          <w:tcPr>
            <w:tcW w:w="1987"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巩固青少年宫思想道德教育基地，引导少年儿童积极传承中华优秀传统文化，弘扬社会主义核心价值观。</w:t>
            </w:r>
          </w:p>
        </w:tc>
        <w:tc>
          <w:tcPr>
            <w:tcW w:w="1438"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7</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生态效</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益指标</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传播环保理念</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通过开展与环保相关的活动，增强青少年的环保意识、节约意识</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开展</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lang w:eastAsia="zh-CN"/>
              </w:rPr>
              <w:t>次以上宣传活动</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可持续影响指标</w:t>
            </w:r>
          </w:p>
        </w:tc>
        <w:tc>
          <w:tcPr>
            <w:tcW w:w="13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思想教育</w:t>
            </w:r>
          </w:p>
        </w:tc>
        <w:tc>
          <w:tcPr>
            <w:tcW w:w="1987"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长期稳定开放青少年宫，持续做好校外思想教育工作。</w:t>
            </w:r>
          </w:p>
        </w:tc>
        <w:tc>
          <w:tcPr>
            <w:tcW w:w="1438" w:type="dxa"/>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基本完成</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shd w:val="clear" w:color="auto" w:fill="auto"/>
            <w:noWrap/>
            <w:vAlign w:val="center"/>
          </w:tcPr>
          <w:p>
            <w:pPr>
              <w:jc w:val="left"/>
              <w:rPr>
                <w:rFonts w:hint="eastAsia" w:ascii="宋体" w:hAnsi="宋体" w:eastAsia="宋体" w:cs="宋体"/>
                <w:color w:val="000000"/>
                <w:kern w:val="0"/>
                <w:szCs w:val="21"/>
              </w:rPr>
            </w:pPr>
          </w:p>
        </w:tc>
        <w:tc>
          <w:tcPr>
            <w:tcW w:w="1062" w:type="dxa"/>
            <w:vMerge w:val="continue"/>
            <w:tcBorders>
              <w:left w:val="nil"/>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社会公众或服务对象满意度</w:t>
            </w:r>
          </w:p>
        </w:tc>
        <w:tc>
          <w:tcPr>
            <w:tcW w:w="133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kern w:val="0"/>
                <w:sz w:val="20"/>
                <w:szCs w:val="20"/>
                <w:lang w:val="en-US" w:eastAsia="zh-CN"/>
              </w:rPr>
              <w:t>使社会公众服务受众的满意度达95%以上。</w:t>
            </w:r>
          </w:p>
        </w:tc>
        <w:tc>
          <w:tcPr>
            <w:tcW w:w="1987" w:type="dxa"/>
            <w:tcBorders>
              <w:top w:val="nil"/>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95%</w:t>
            </w:r>
          </w:p>
        </w:tc>
        <w:tc>
          <w:tcPr>
            <w:tcW w:w="1438" w:type="dxa"/>
            <w:tcBorders>
              <w:top w:val="nil"/>
              <w:left w:val="nil"/>
              <w:bottom w:val="single" w:color="auto" w:sz="4" w:space="0"/>
              <w:right w:val="single" w:color="auto" w:sz="4" w:space="0"/>
            </w:tcBorders>
            <w:shd w:val="clear" w:color="auto" w:fill="auto"/>
            <w:noWrap/>
            <w:vAlign w:val="center"/>
          </w:tcPr>
          <w:p>
            <w:pPr>
              <w:numPr>
                <w:ilvl w:val="0"/>
                <w:numId w:val="0"/>
              </w:numPr>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96%</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46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40" w:hRule="atLeast"/>
          <w:jc w:val="center"/>
        </w:trPr>
        <w:tc>
          <w:tcPr>
            <w:tcW w:w="788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总分</w:t>
            </w:r>
          </w:p>
        </w:tc>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4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9</w:t>
            </w:r>
            <w:r>
              <w:rPr>
                <w:rFonts w:hint="eastAsia" w:ascii="宋体" w:hAnsi="宋体" w:cs="宋体"/>
                <w:color w:val="000000"/>
                <w:kern w:val="0"/>
                <w:szCs w:val="21"/>
                <w:lang w:val="en-US" w:eastAsia="zh-CN"/>
              </w:rPr>
              <w:t>4</w:t>
            </w:r>
          </w:p>
        </w:tc>
        <w:tc>
          <w:tcPr>
            <w:tcW w:w="9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1"/>
              </w:rPr>
            </w:pPr>
          </w:p>
        </w:tc>
      </w:tr>
    </w:tbl>
    <w:p>
      <w:pPr>
        <w:keepNext w:val="0"/>
        <w:keepLines w:val="0"/>
        <w:pageBreakBefore w:val="0"/>
        <w:widowControl w:val="0"/>
        <w:kinsoku/>
        <w:wordWrap/>
        <w:overflowPunct/>
        <w:topLinePunct w:val="0"/>
        <w:autoSpaceDE/>
        <w:autoSpaceDN/>
        <w:bidi w:val="0"/>
        <w:adjustRightInd w:val="0"/>
        <w:snapToGrid/>
        <w:spacing w:beforeLines="50"/>
        <w:ind w:left="0" w:leftChars="0" w:right="0" w:rightChars="0"/>
        <w:textAlignment w:val="auto"/>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蒋云靖</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2022年6月8日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13762411565</w:t>
      </w:r>
      <w:r>
        <w:rPr>
          <w:rFonts w:ascii="Times New Roman" w:hAnsi="Times New Roman" w:eastAsia="仿宋_GB2312"/>
          <w:sz w:val="24"/>
        </w:rPr>
        <w:t xml:space="preserve"> 单位负责人签字：</w:t>
      </w:r>
    </w:p>
    <w:p>
      <w:pPr>
        <w:rPr>
          <w:rFonts w:ascii="Times New Roman" w:hAnsi="Times New Roman"/>
        </w:rPr>
      </w:pPr>
    </w:p>
    <w:sectPr>
      <w:footerReference r:id="rId3" w:type="default"/>
      <w:footerReference r:id="rId4" w:type="even"/>
      <w:pgSz w:w="11906" w:h="16838"/>
      <w:pgMar w:top="1440" w:right="1230" w:bottom="1440" w:left="1230" w:header="851" w:footer="992" w:gutter="0"/>
      <w:pgNumType w:fmt="numberInDash"/>
      <w:cols w:space="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Times New Roman" w:hAnsi="Times New Roman"/>
        <w:sz w:val="28"/>
        <w:szCs w:val="28"/>
      </w:rPr>
    </w:pPr>
    <w:r>
      <w:rPr>
        <w:rStyle w:val="11"/>
        <w:rFonts w:ascii="Times New Roman" w:hAnsi="Times New Roman"/>
        <w:sz w:val="28"/>
        <w:szCs w:val="28"/>
      </w:rPr>
      <w:fldChar w:fldCharType="begin"/>
    </w:r>
    <w:r>
      <w:rPr>
        <w:rStyle w:val="11"/>
        <w:rFonts w:ascii="Times New Roman" w:hAnsi="Times New Roman"/>
        <w:sz w:val="28"/>
        <w:szCs w:val="28"/>
      </w:rPr>
      <w:instrText xml:space="preserve">PAGE  </w:instrText>
    </w:r>
    <w:r>
      <w:rPr>
        <w:rStyle w:val="11"/>
        <w:rFonts w:ascii="Times New Roman" w:hAnsi="Times New Roman"/>
        <w:sz w:val="28"/>
        <w:szCs w:val="28"/>
      </w:rPr>
      <w:fldChar w:fldCharType="separate"/>
    </w:r>
    <w:r>
      <w:rPr>
        <w:rStyle w:val="11"/>
        <w:rFonts w:ascii="Times New Roman" w:hAnsi="Times New Roman"/>
        <w:sz w:val="28"/>
        <w:szCs w:val="28"/>
      </w:rPr>
      <w:t>- 4 -</w:t>
    </w:r>
    <w:r>
      <w:rPr>
        <w:rStyle w:val="11"/>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348A5"/>
    <w:multiLevelType w:val="singleLevel"/>
    <w:tmpl w:val="DAF348A5"/>
    <w:lvl w:ilvl="0" w:tentative="0">
      <w:start w:val="2"/>
      <w:numFmt w:val="decimal"/>
      <w:suff w:val="space"/>
      <w:lvlText w:val="%1."/>
      <w:lvlJc w:val="left"/>
    </w:lvl>
  </w:abstractNum>
  <w:abstractNum w:abstractNumId="1">
    <w:nsid w:val="36881F6A"/>
    <w:multiLevelType w:val="singleLevel"/>
    <w:tmpl w:val="36881F6A"/>
    <w:lvl w:ilvl="0" w:tentative="0">
      <w:start w:val="1"/>
      <w:numFmt w:val="chineseCounting"/>
      <w:suff w:val="nothing"/>
      <w:lvlText w:val="（%1）"/>
      <w:lvlJc w:val="left"/>
      <w:pPr>
        <w:ind w:left="210"/>
      </w:pPr>
      <w:rPr>
        <w:rFonts w:hint="eastAsia"/>
      </w:rPr>
    </w:lvl>
  </w:abstractNum>
  <w:abstractNum w:abstractNumId="2">
    <w:nsid w:val="7906050E"/>
    <w:multiLevelType w:val="singleLevel"/>
    <w:tmpl w:val="790605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ZWQyYTdjNzZjM2JlNTliNzNhZDdkYzdlM2ZiZmQifQ=="/>
  </w:docVars>
  <w:rsids>
    <w:rsidRoot w:val="00C553EF"/>
    <w:rsid w:val="00012C93"/>
    <w:rsid w:val="000734E3"/>
    <w:rsid w:val="000773D5"/>
    <w:rsid w:val="00080625"/>
    <w:rsid w:val="00093B9D"/>
    <w:rsid w:val="00094646"/>
    <w:rsid w:val="000F775C"/>
    <w:rsid w:val="00135395"/>
    <w:rsid w:val="001711A7"/>
    <w:rsid w:val="00184AF2"/>
    <w:rsid w:val="001B56F4"/>
    <w:rsid w:val="001B69B6"/>
    <w:rsid w:val="002238BB"/>
    <w:rsid w:val="002320EB"/>
    <w:rsid w:val="00252CD1"/>
    <w:rsid w:val="002F05A3"/>
    <w:rsid w:val="003126FC"/>
    <w:rsid w:val="00323CF3"/>
    <w:rsid w:val="0032533F"/>
    <w:rsid w:val="003B7F5C"/>
    <w:rsid w:val="003E1FD6"/>
    <w:rsid w:val="004148E0"/>
    <w:rsid w:val="004217FE"/>
    <w:rsid w:val="00474AD0"/>
    <w:rsid w:val="00487AC5"/>
    <w:rsid w:val="00496F05"/>
    <w:rsid w:val="00551D43"/>
    <w:rsid w:val="00562EEB"/>
    <w:rsid w:val="005851E9"/>
    <w:rsid w:val="00594AEE"/>
    <w:rsid w:val="006964D9"/>
    <w:rsid w:val="006F37DA"/>
    <w:rsid w:val="0071000B"/>
    <w:rsid w:val="007123D7"/>
    <w:rsid w:val="00751BF0"/>
    <w:rsid w:val="00771B0E"/>
    <w:rsid w:val="007A6F2C"/>
    <w:rsid w:val="007E2D1B"/>
    <w:rsid w:val="007E3E71"/>
    <w:rsid w:val="00847A3C"/>
    <w:rsid w:val="00893AEC"/>
    <w:rsid w:val="0099481A"/>
    <w:rsid w:val="00A148B9"/>
    <w:rsid w:val="00A3605E"/>
    <w:rsid w:val="00A55C61"/>
    <w:rsid w:val="00A777B0"/>
    <w:rsid w:val="00AC12C1"/>
    <w:rsid w:val="00AF15ED"/>
    <w:rsid w:val="00B702EE"/>
    <w:rsid w:val="00BD4955"/>
    <w:rsid w:val="00C23636"/>
    <w:rsid w:val="00C553EF"/>
    <w:rsid w:val="00C641BD"/>
    <w:rsid w:val="00CD7E4E"/>
    <w:rsid w:val="00D24893"/>
    <w:rsid w:val="00D8620A"/>
    <w:rsid w:val="00DD4AA2"/>
    <w:rsid w:val="00DD5A15"/>
    <w:rsid w:val="00E323CD"/>
    <w:rsid w:val="00E8571A"/>
    <w:rsid w:val="00E94B12"/>
    <w:rsid w:val="00F55DE1"/>
    <w:rsid w:val="00FA2BB2"/>
    <w:rsid w:val="00FC450D"/>
    <w:rsid w:val="00FD081E"/>
    <w:rsid w:val="00FE4826"/>
    <w:rsid w:val="016143A4"/>
    <w:rsid w:val="058C5525"/>
    <w:rsid w:val="059B2591"/>
    <w:rsid w:val="089F0F35"/>
    <w:rsid w:val="0F262ACD"/>
    <w:rsid w:val="10075BA2"/>
    <w:rsid w:val="14AC50BF"/>
    <w:rsid w:val="15921115"/>
    <w:rsid w:val="15DA6FC6"/>
    <w:rsid w:val="1AF5716B"/>
    <w:rsid w:val="24DC75C7"/>
    <w:rsid w:val="28CE5ED2"/>
    <w:rsid w:val="2BF05D4A"/>
    <w:rsid w:val="2CB152E6"/>
    <w:rsid w:val="2E660FDE"/>
    <w:rsid w:val="31973E9A"/>
    <w:rsid w:val="331823D3"/>
    <w:rsid w:val="35DA6A44"/>
    <w:rsid w:val="36C755DE"/>
    <w:rsid w:val="384B732D"/>
    <w:rsid w:val="395C29AF"/>
    <w:rsid w:val="3A0574B7"/>
    <w:rsid w:val="3AD10D4A"/>
    <w:rsid w:val="3C160B20"/>
    <w:rsid w:val="458E155E"/>
    <w:rsid w:val="51637561"/>
    <w:rsid w:val="569F7248"/>
    <w:rsid w:val="5CE846DD"/>
    <w:rsid w:val="5D5314D4"/>
    <w:rsid w:val="5E3404C9"/>
    <w:rsid w:val="63832F45"/>
    <w:rsid w:val="67EF4A57"/>
    <w:rsid w:val="70BE5D32"/>
    <w:rsid w:val="712D1A5C"/>
    <w:rsid w:val="72A81EAA"/>
    <w:rsid w:val="72D06195"/>
    <w:rsid w:val="744E41D8"/>
    <w:rsid w:val="784F08FE"/>
    <w:rsid w:val="7CB76C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99"/>
    <w:pPr>
      <w:jc w:val="left"/>
    </w:pPr>
    <w:rPr>
      <w:rFonts w:ascii="Times New Roman" w:hAnsi="Times New Roman"/>
      <w:szCs w:val="24"/>
    </w:rPr>
  </w:style>
  <w:style w:type="paragraph" w:styleId="4">
    <w:name w:val="Balloon Text"/>
    <w:basedOn w:val="1"/>
    <w:link w:val="14"/>
    <w:qFormat/>
    <w:uiPriority w:val="99"/>
    <w:rPr>
      <w:rFonts w:ascii="Times New Roman" w:hAnsi="Times New Roman"/>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styleId="12">
    <w:name w:val="annotation reference"/>
    <w:basedOn w:val="9"/>
    <w:qFormat/>
    <w:uiPriority w:val="99"/>
    <w:rPr>
      <w:rFonts w:cs="Times New Roman"/>
      <w:sz w:val="21"/>
      <w:szCs w:val="21"/>
    </w:rPr>
  </w:style>
  <w:style w:type="character" w:customStyle="1" w:styleId="13">
    <w:name w:val="批注文字 Char"/>
    <w:basedOn w:val="9"/>
    <w:link w:val="3"/>
    <w:qFormat/>
    <w:locked/>
    <w:uiPriority w:val="99"/>
    <w:rPr>
      <w:rFonts w:ascii="Times New Roman" w:hAnsi="Times New Roman" w:eastAsia="宋体" w:cs="Times New Roman"/>
      <w:sz w:val="24"/>
      <w:szCs w:val="24"/>
    </w:rPr>
  </w:style>
  <w:style w:type="character" w:customStyle="1" w:styleId="14">
    <w:name w:val="批注框文本 Char"/>
    <w:basedOn w:val="9"/>
    <w:link w:val="4"/>
    <w:qFormat/>
    <w:locked/>
    <w:uiPriority w:val="99"/>
    <w:rPr>
      <w:rFonts w:ascii="Times New Roman" w:hAnsi="Times New Roman" w:eastAsia="宋体" w:cs="Times New Roman"/>
      <w:sz w:val="18"/>
      <w:szCs w:val="18"/>
    </w:rPr>
  </w:style>
  <w:style w:type="character" w:customStyle="1" w:styleId="15">
    <w:name w:val="页脚 Char"/>
    <w:basedOn w:val="9"/>
    <w:link w:val="5"/>
    <w:qFormat/>
    <w:locked/>
    <w:uiPriority w:val="99"/>
    <w:rPr>
      <w:rFonts w:cs="Times New Roman"/>
      <w:sz w:val="18"/>
      <w:szCs w:val="18"/>
    </w:rPr>
  </w:style>
  <w:style w:type="character" w:customStyle="1" w:styleId="16">
    <w:name w:val="页眉 Char"/>
    <w:basedOn w:val="9"/>
    <w:link w:val="6"/>
    <w:qFormat/>
    <w:locked/>
    <w:uiPriority w:val="99"/>
    <w:rPr>
      <w:rFonts w:cs="Times New Roman"/>
      <w:sz w:val="18"/>
      <w:szCs w:val="18"/>
    </w:rPr>
  </w:style>
  <w:style w:type="paragraph" w:customStyle="1" w:styleId="17">
    <w:name w:val="列出段落1"/>
    <w:basedOn w:val="1"/>
    <w:qFormat/>
    <w:uiPriority w:val="99"/>
    <w:pPr>
      <w:ind w:firstLine="420" w:firstLineChars="200"/>
    </w:pPr>
    <w:rPr>
      <w:rFonts w:ascii="Times New Roman" w:hAnsi="Times New Roman"/>
      <w:szCs w:val="24"/>
    </w:rPr>
  </w:style>
  <w:style w:type="paragraph" w:styleId="18">
    <w:name w:val="List Paragraph"/>
    <w:basedOn w:val="1"/>
    <w:qFormat/>
    <w:uiPriority w:val="99"/>
    <w:pPr>
      <w:ind w:firstLine="420" w:firstLineChars="200"/>
    </w:pPr>
    <w:rPr>
      <w:rFonts w:ascii="Times New Roman" w:hAnsi="Times New Roman"/>
      <w:szCs w:val="24"/>
    </w:rPr>
  </w:style>
  <w:style w:type="paragraph" w:customStyle="1" w:styleId="19">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10520</Words>
  <Characters>11457</Characters>
  <Lines>57</Lines>
  <Paragraphs>16</Paragraphs>
  <TotalTime>109</TotalTime>
  <ScaleCrop>false</ScaleCrop>
  <LinksUpToDate>false</LinksUpToDate>
  <CharactersWithSpaces>11649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蒋云靖</cp:lastModifiedBy>
  <cp:lastPrinted>2022-06-08T01:54:00Z</cp:lastPrinted>
  <dcterms:modified xsi:type="dcterms:W3CDTF">2022-06-08T09:02:11Z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B291DC758DAF47019FCB4932FDF40AFA</vt:lpwstr>
  </property>
</Properties>
</file>