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共青团衡阳市委员会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2021年度预算绩效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情况说明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（1）绩效管理评价工作开展情况。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根据预算绩效管理要求，我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组织对2021 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一般公共预算项目支出全面开展绩效自评，其中，共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9个项目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涉及资金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111万元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（项目经费回收10%，实际支出99.9万元）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我委无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政府性基金预算项目支出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国有资本经营预算项目支出。从评价情况来看，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各项目支出均严格执行行政事业单位财务管理制度及相关政策精神，合理安排资金投向。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（2）部门决算中项目绩效自评结果。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根据年初设定的绩效目标，项目全年预算数为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99.9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万元，执行数为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99.9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万元，完成预算的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绩效整体目标完成情况：我委2021年全年开展预防青少年违法犯罪活动60次、助学活动2次；完善团干部直接联系青年制度，加强基层组织团建；开展青少年理想信念教育活动62次；开展青年志愿服务活动12次；开展青年就业创业活动27次；开展青联、学联、少工委活动3次；团组织覆盖面进一步扩大，年底完成团组织建设达到11687个；通过开展“五四”活动，进一步弘扬社会正能量，引导青年树立正确的价值导向，参与各项活动总人数30万余人次，有效推动青少年事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发现的主要问题：基本支出经费保障有限，项目支出经费安排的也较少。综合近几年我市批复的我单位预算看，预算基本围绕保人员经费、保正常运转进行，但是由于人员增加，不能及时补充拨付新增加的人员经费，导致基本支出紧张。项目经费呈逐年降低的趋势。这不利于更好的发挥本单位的职能职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下一步改进措施：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细化预算编制工作，认真做好预算的编制。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进一步加强单位内部机构各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完善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绩效评估体系，加强监督检查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进一步完善项目绩效评价指标体系，研究、关注绩效管理理论与实践发展的新思路、新动向，进一步完善项目绩效评价指标体系。加强对绩效管理工作的跟踪监督。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3。加强相关人员业务培训。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对相关人员加强培训，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特别是针对《预算法》《行政事业单位会计制度》等学习培训，规范部门预算收支核算，切实提高部门预算收支管理水平。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2FD573-8A35-44CA-866F-B3209BD052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7A7485E-1ADC-4C6E-9A5B-D8E79D0D5D55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DB19D3B-FF76-4A13-B7B3-DFC16A36B8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DJkODdiYWVmNjVjMzRkZmZlMTc2MTUxMTRiZGQifQ=="/>
  </w:docVars>
  <w:rsids>
    <w:rsidRoot w:val="00000000"/>
    <w:rsid w:val="386548A5"/>
    <w:rsid w:val="3EAB0813"/>
    <w:rsid w:val="56AA571C"/>
    <w:rsid w:val="6DCEF1E9"/>
    <w:rsid w:val="7EFFB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sz w:val="24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958</Characters>
  <Lines>0</Lines>
  <Paragraphs>0</Paragraphs>
  <TotalTime>10.6666666666667</TotalTime>
  <ScaleCrop>false</ScaleCrop>
  <LinksUpToDate>false</LinksUpToDate>
  <CharactersWithSpaces>959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藏在袖子里</cp:lastModifiedBy>
  <dcterms:modified xsi:type="dcterms:W3CDTF">2022-09-30T15:33:52Z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CAE66ADBD47746708E9F8860E10508B1</vt:lpwstr>
  </property>
</Properties>
</file>