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部门整体支出绩效自评报告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部门、单位基本情况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10101"/>
          <w:kern w:val="0"/>
          <w:sz w:val="32"/>
          <w:szCs w:val="32"/>
        </w:rPr>
        <w:t>（一）部门职能概述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color w:val="010101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10101"/>
          <w:kern w:val="0"/>
          <w:sz w:val="32"/>
          <w:szCs w:val="32"/>
        </w:rPr>
        <w:t>中国共产主义青年团是中国共产党领导的先进青年的群众组织，是广大青年在实践中学习共产主义的学校，是党的助手和后备军，是党联系青年的的桥梁和纽带，是国家政权的重要社会支柱。团市委是由中共衡阳市委领导。其主要职能是：行使中共衡阳市委赋予的领导全市共青团、青联、学联和少先队工作的职权，对全市青年社团组织进行指导和管理；参与制订青少年事业发展规划和青少年工作方针、政策，对衡阳市青少年宫等青少年活动阵地、青少年服务机构的建设等事务进行规划和管理；参与有关青少年事务法律、法规的制定和实施；协助中共衡阳市委、市人民政府的处理、协调与青少年利益有关的事务；调查青年思想动态和工作状况，研究青少年工作理论和青少年思想教育问题，提出相应的对策；开展各种有益的活动，提高青少年政治思想、科学文化素质；研究青少年违法犯罪问题，协调有关部门开展青少年法制宣传教育和未成年人保护工作；协助政府相关部门做好大、中小学学生的教育管理工作，维护学校稳定和社会安定团结；在全市经济建设中，组织和带领青年发挥生力军和突击队作用；会同有关部门做好青少年外事工作和市内外青少年组织、团体的交流工；做好青年统战对象的团结教育工作；指导和管理青少年宫；承办中共衡阳市委、市人民政府交办的其他事项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楷体" w:cs="Times New Roman"/>
          <w:b/>
          <w:bCs/>
          <w:color w:val="010101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10101"/>
          <w:kern w:val="0"/>
          <w:sz w:val="32"/>
          <w:szCs w:val="32"/>
        </w:rPr>
        <w:t>（二）部门组织机构及人员情况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color w:val="010101"/>
          <w:kern w:val="0"/>
          <w:sz w:val="32"/>
          <w:szCs w:val="32"/>
          <w:lang w:val="en-US" w:eastAsia="zh-CN"/>
        </w:rPr>
      </w:pPr>
      <w:r>
        <w:rPr>
          <w:rFonts w:hint="default" w:eastAsia="仿宋" w:cs="Times New Roman"/>
          <w:color w:val="010101"/>
          <w:kern w:val="0"/>
          <w:sz w:val="32"/>
          <w:szCs w:val="32"/>
          <w:lang w:val="en"/>
        </w:rPr>
        <w:t>2023</w:t>
      </w:r>
      <w:r>
        <w:rPr>
          <w:rFonts w:hint="default" w:ascii="Times New Roman" w:hAnsi="Times New Roman" w:eastAsia="仿宋" w:cs="Times New Roman"/>
          <w:color w:val="010101"/>
          <w:kern w:val="0"/>
          <w:sz w:val="32"/>
          <w:szCs w:val="32"/>
        </w:rPr>
        <w:t>年度我委机关内设7个行政科室，2个财政未独立的二级事业单位，1个直属二级预算单位。现有编制24名，其中行政编制17名，全额事业编制6名，工勤编制1名</w:t>
      </w:r>
      <w:r>
        <w:rPr>
          <w:rFonts w:hint="eastAsia" w:eastAsia="仿宋" w:cs="Times New Roman"/>
          <w:color w:val="010101"/>
          <w:kern w:val="0"/>
          <w:sz w:val="32"/>
          <w:szCs w:val="32"/>
          <w:lang w:eastAsia="zh-CN"/>
        </w:rPr>
        <w:t>，截止</w:t>
      </w:r>
      <w:r>
        <w:rPr>
          <w:rFonts w:hint="default" w:eastAsia="仿宋" w:cs="Times New Roman"/>
          <w:color w:val="010101"/>
          <w:kern w:val="0"/>
          <w:sz w:val="32"/>
          <w:szCs w:val="32"/>
          <w:lang w:val="en" w:eastAsia="zh-CN"/>
        </w:rPr>
        <w:t>2023</w:t>
      </w:r>
      <w:r>
        <w:rPr>
          <w:rFonts w:hint="eastAsia" w:eastAsia="仿宋" w:cs="Times New Roman"/>
          <w:color w:val="010101"/>
          <w:kern w:val="0"/>
          <w:sz w:val="32"/>
          <w:szCs w:val="32"/>
          <w:lang w:val="en-US" w:eastAsia="zh-CN"/>
        </w:rPr>
        <w:t>年12月31日共19名在编人员</w:t>
      </w:r>
      <w:r>
        <w:rPr>
          <w:rFonts w:hint="default" w:ascii="Times New Roman" w:hAnsi="Times New Roman" w:eastAsia="仿宋" w:cs="Times New Roman"/>
          <w:color w:val="010101"/>
          <w:kern w:val="0"/>
          <w:sz w:val="32"/>
          <w:szCs w:val="32"/>
        </w:rPr>
        <w:t>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2023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我委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年初预算</w:t>
      </w:r>
      <w:r>
        <w:rPr>
          <w:rFonts w:hint="default" w:ascii="Times New Roman" w:hAnsi="Times New Roman" w:eastAsia="仿宋" w:cs="Times New Roman"/>
          <w:sz w:val="32"/>
          <w:szCs w:val="32"/>
        </w:rPr>
        <w:t>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415.52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年底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实际发生支出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437.91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其中基本支出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354.49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按科目分类工资福利支出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281.29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万元，商品服务支出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185.72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资本性支出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1.41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“三公”经费支出</w:t>
      </w:r>
      <w:r>
        <w:rPr>
          <w:rFonts w:hint="default" w:ascii="Times New Roman" w:hAnsi="Times New Roman" w:eastAsia="仿宋" w:cs="Times New Roman"/>
          <w:sz w:val="32"/>
          <w:lang w:val="en" w:eastAsia="zh-CN"/>
        </w:rPr>
        <w:t>3.98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万元，其中：公务用车购置和维护经费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元</w:t>
      </w:r>
      <w:r>
        <w:rPr>
          <w:rFonts w:hint="default" w:ascii="Times New Roman" w:hAnsi="Times New Roman" w:eastAsia="仿宋" w:cs="Times New Roman"/>
          <w:sz w:val="32"/>
          <w:szCs w:val="32"/>
        </w:rPr>
        <w:t>，公务接待费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0.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088</w:t>
      </w:r>
      <w:r>
        <w:rPr>
          <w:rFonts w:hint="default" w:ascii="Times New Roman" w:hAnsi="Times New Roman" w:eastAsia="仿宋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全年计划项目总成本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86.42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万元，共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个项目，其中：青少年事业发展专项经费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万元；青联、学联、少工委等经费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万元；预防青少年违法犯罪、共青团意识教育经费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青年志愿者、青年就业创业工作经费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万元；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团市委工作经费13.42万；公用经费10万元；省级党建带团建3万元。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各项目支出均严格执行行政事业单位财务管理制度及相关政策精神，合理安排资金投向。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（一）旗帜鲜明讲政治，始终把稳青少年思想航向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一是有效有度推动全市团员和青年主题教育走深走实。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紧紧围绕为党育人根本任务，高位谋划周密安排，依托党建带团建机制，将团员和青年主题教育纳入全市主题教育统一部署，全市11640个团支部完成4个专题学习100%全覆盖。创新打造“青春屋场恳谈会”，为青年成长发展解忧，相关工作多次在省里作经验介绍，并被中青报报道、湖南卫视专题报道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二是抓好“青年化”阐释。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学习宣传贯彻党的二十大精神为主线，推动“80、90、00后”青年讲师团深入青年开展宣讲500余场次，分类分众开展“青年大学习”、青春屋场恳谈会，覆盖全市团员青年636余万人次，推出《衡有道理》《青春逢盛世 青年当有为》等融媒体学习产品，始终成为引领青年思想进步的政治学校。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三是突出“仪式化”感召。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力开展“学习二十大、永远跟党走、奋进新征程”系列主题团、队日活动超一万场次，广泛开展入团入队、“学雷锋”、“三下乡”、“清明祭英烈”等仪式教育、实践活动760余场，切实提升思想引领实效性。坚持榜样育人，选树一大批优秀青年典型，开展“青年五四奖章”分享会、青雁沙龙等活动，大力弘扬和培育社会主义核心价值观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四是加强“产品化”创作。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牢牢掌握青年意识形态工作主动权，“青春衡阳”影响力持续增强，多次登上全国团组织新媒体影响力排行榜单前30，长期位居全省第一方阵。制作推出《不“纸”/止于此》《很潮！衡青年》《2023，有你》等系列原创视频作品，阅读量破100万。策划推出“衡阳共青团就在你身边”网络话题，阅读量过7800万，青少年思想政治引领实现从影响广泛向引领有力转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（二）服务大局勇担当，引领青年投身高质量发展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一是引领青年聚力“制造立市”。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力开展“持续聚力中心化十大行动”，围绕“一核两电三色四新”十大主导产业组建140余支青年突击队，选树69名市级青年岗位能手，动员青年在生产攻坚一线彰显青年的责任和担当。深入开展“创青春”“挑战杯”、创业直播等赛事活动，组织指导154名青年参加各级比赛，其中创业青年刘奕辰斩获“创青春”国赛金奖，其创业故事被新华网、中国青年报报道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二是引领青年投身“文旅兴城”。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精心策划打造“美食星推官”“团团带你来打卡”“带着青春去旅行”等栏目，推出以“青春户外季”“青春音乐季”“青春美食季”“青春打卡季”为主题的“青春四季”文旅品牌活动，选拔培养“青少年新媒体合伙人”，积极引导广大青少年成为“衡阳代言人”，围绕薛之谦衡阳演唱会、QQ音乐巅峰之夜衡阳站等热点话题，组建大学生、自媒体、团干部宣发队伍，在抖音、小红书、微信视频号等平台，推出衡阳游玩攻略指南1000余篇，阅读量2800万人次，助力衡阳文旅出圈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三是引领青年参与社会治理。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创新“雁回衡阳”返乡大学生志愿者、团员到社区报到、“河小青”饮用水源地保护等“青雁”志愿者10+N品牌项目，“衡阳群众”青年志愿者主动投身文明创建、重大赛会、急难险重、基层治理、生态环保等重点工作，“红马甲”成为雁城最温情的名片。深化“共青团与人大代表、政协委员面对面”活动，“手把手”指导青少年就“真问题”转化为“好点子”，组织“十佳模拟政协提案”的青年代表首次列席观摩市政协十三届第三次会议开幕会，有效激发青少年政治参与的热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（三）关心关爱促成长，架起联系青少年桥梁纽带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5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一是坚持“法治护航”。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创新打造“青春法治辅导员”项目，组织1200余名高校法学心理学专业师生、青年政法干警和青年律师结对乡镇中小学，深入开展普法、维权、关爱志愿服务，计划5年时间对全市偏远乡镇全覆盖，目前已覆盖10个乡镇、7500余名青少年。聚焦“青春自护”“与法同行”，持续开展防校园欺凌、防性侵、安全自护、禁毒防艾等宣教活动3000余场，服务青少年62万余人次。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二是解决“急难愁盼”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聚焦就业实习，打造“超级链习生”实习品牌，深入开展“千校万岗”“扬帆计划”等大学生就业实习行动，搭建青年和用人单位的高质量双选平台。聚焦婚恋交友，组织开展“怦然心动”、雁城潮玩体验官等活动，促进消费升级的同时搭建优质青年交友平台。聚焦青少年成长，持续开展关爱青少年身心健康“十个一”行动，发挥公益项目助学育人作用，向四类重点青少年群体发放慰问资金物资251.68万元，资助慰问困难青少年2893人次。聚焦青少年普遍关心的“双减”政策，正式启用近2万平方的青少年活动中心，推出少年儿童社会实践营、爱心寒暑假及周末托管班，提供优质课外素质教育，原创舞蹈《博物馆奇遇记》获“小荷风采”全国少儿舞蹈展演金奖。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三是推进“大团结大联合”。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联合市委统战部出台《衡阳市青年统战工作协调机制》，依托社区青春行动、伙伴计划、筑梦空间等团属平台，开展体育运动公益课、快递活动月、非遗展演等活动，紧密团结凝聚新兴青年群体。持续开展“石榴籽一家亲”活动，组织青联委员、企业家赴鄯善县开展交流活动，带去慰问资金物资20余万元，开展湘吐少先队员夏令营和“书信手拉手”活动，增进两地青少年情感认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（四）聚力改革强基础，推动团组织焕发生机活力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一是夯实基层“桥头堡”。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不断巩固传统领域，拓展新兴领域，社会领域、非公企业领域、新社会组织领域团组织数均超额完成年度目标，基层团组织活力得到有力提升。全面推进县域共青团基层组织改革，衡南县改革经验案例被推荐至团中央《县域改革百县百例》。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二是勇蹚改革“深水区”。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坚持问题导向，落实市、县两级偏离主业或活跃度不高的5家团属组织脱钩工作。统筹推进青联、学联、少先队改革，市青联八届一次全会顺利召开，青联委员积极投身直播助农、助力文旅经济等活动，服务大局作用进一步彰显；创新衡阳高校共青团联席会议机制，推动形成活泼开放、资源共享、优势互补的高校共青团工作格局；建立少先队阶梯式培养激励机制，开展“红领巾奖章”争章、少先队鼓号队风采展演、“新时代衡阳好少年”评选等，开通首条“红领巾专线”，举办少先队辅导员暨“青马工程”少先队工作者培训班，充分发挥少先队独特育人作用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三是坚持严实“总基调”。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突出政治建设，坚决落实重大事项请示报告制度，强化团内纪律执行。从严管理团员队伍，对新发展团员的档案进行全面核查，进一步加强政治引领和价值塑造。持续加强团干部队伍建设，创新开办“团团夜校”，鼓励团干部利用业余时间主动“充电赋能”。制定衡阳共青团持续优化干部作风建设实施方案，深入开展“走找想促”活动，严格落实“四下基层”制度，着力打造一支“忠诚可靠、务实担当、朝气蓬勃、奋发有为”的衡阳共青团干部队伍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在完成绩效评价工作中，尽管取得了一些成绩，同时在工作中我们也遇到了一些问题。综合近几年我单位预算批复，单位日常运转所需公用经费预算不足，基本支出预算中公用经费预算较少，只能基本满足单位日常运行费用支出；部门整体支出绩效管理意识有待提高；预算控制工作有待加强，尽管其中有政策性调整和政府临时交办事务等原因追加预算，加大了预算控制工作的难度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（一）强化机关干部绩效管理意识。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加强部门整体支出绩效评价工作，提升单位全体干职工整体支出绩效管理意识，将绩效理念贯穿于预算编制与执行的全过程，强化绩效指标管理，将部门整体支出绩效评价工作落实到每一笔费用支出当中，科学合理地对财政支出进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（二）增强预算编制的科学性和预算管理的执行力。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结合上年度预决算收支情况和预算年度可以预计的收支情况，科学、合理编制预算，尽可能保证预算年度内预算收支应编尽编。同时增强预算管理的执行力，杜绝预算执行和资金使用上的的随意性。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1"/>
          <w:docGrid w:type="linesAndChars" w:linePitch="312" w:charSpace="0"/>
        </w:sectPr>
      </w:pPr>
    </w:p>
    <w:p>
      <w:pPr>
        <w:spacing w:beforeLines="50"/>
        <w:rPr>
          <w:rFonts w:hint="default" w:ascii="Times New Roman" w:hAnsi="Times New Roman" w:eastAsia="仿宋_GB2312" w:cs="Times New Roman"/>
          <w:spacing w:val="-11"/>
          <w:sz w:val="24"/>
          <w:lang w:val="en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A5F29"/>
    <w:multiLevelType w:val="singleLevel"/>
    <w:tmpl w:val="FF9A5F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6EAB"/>
    <w:multiLevelType w:val="singleLevel"/>
    <w:tmpl w:val="FFFF6EA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M0ODA5MDU3NzA0OTliNzM3NzNlM2I0OWRjMjc2ZjMifQ=="/>
  </w:docVars>
  <w:rsids>
    <w:rsidRoot w:val="00C553EF"/>
    <w:rsid w:val="00012C93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35131"/>
    <w:rsid w:val="00135395"/>
    <w:rsid w:val="00173AA9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A03D6"/>
    <w:rsid w:val="002D01D7"/>
    <w:rsid w:val="002F05A3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09FF"/>
    <w:rsid w:val="00581EEE"/>
    <w:rsid w:val="005851E9"/>
    <w:rsid w:val="00591495"/>
    <w:rsid w:val="00594AEE"/>
    <w:rsid w:val="005D031D"/>
    <w:rsid w:val="006264B7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E2D1B"/>
    <w:rsid w:val="007E3E71"/>
    <w:rsid w:val="008241E1"/>
    <w:rsid w:val="00835818"/>
    <w:rsid w:val="00847A3C"/>
    <w:rsid w:val="00893AEC"/>
    <w:rsid w:val="00940D4A"/>
    <w:rsid w:val="00971DB4"/>
    <w:rsid w:val="0097394E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7C71168"/>
    <w:rsid w:val="0F262ACD"/>
    <w:rsid w:val="15DA6FC6"/>
    <w:rsid w:val="18934E7A"/>
    <w:rsid w:val="1CDC19D3"/>
    <w:rsid w:val="1EA26CE0"/>
    <w:rsid w:val="1EE39D84"/>
    <w:rsid w:val="217D46AD"/>
    <w:rsid w:val="2CA61530"/>
    <w:rsid w:val="2E660FDE"/>
    <w:rsid w:val="398B5761"/>
    <w:rsid w:val="3A987BA2"/>
    <w:rsid w:val="3B3FDC62"/>
    <w:rsid w:val="3BFC0501"/>
    <w:rsid w:val="3F2FD4F8"/>
    <w:rsid w:val="3F52287D"/>
    <w:rsid w:val="3FDBFCF7"/>
    <w:rsid w:val="416B7C26"/>
    <w:rsid w:val="41C61B6B"/>
    <w:rsid w:val="44A75419"/>
    <w:rsid w:val="463F7230"/>
    <w:rsid w:val="4A6F6D2D"/>
    <w:rsid w:val="5C2F64BB"/>
    <w:rsid w:val="5DDF4C4E"/>
    <w:rsid w:val="5FEBC041"/>
    <w:rsid w:val="5FFFCBC1"/>
    <w:rsid w:val="609A4BD3"/>
    <w:rsid w:val="62882016"/>
    <w:rsid w:val="62F62474"/>
    <w:rsid w:val="640815D9"/>
    <w:rsid w:val="65B31738"/>
    <w:rsid w:val="66B91727"/>
    <w:rsid w:val="6AF80B9B"/>
    <w:rsid w:val="6BAD2A66"/>
    <w:rsid w:val="6CDE3E9F"/>
    <w:rsid w:val="6EF74444"/>
    <w:rsid w:val="71125845"/>
    <w:rsid w:val="73AF1F50"/>
    <w:rsid w:val="73F774D8"/>
    <w:rsid w:val="773A3B3B"/>
    <w:rsid w:val="77A24B7F"/>
    <w:rsid w:val="79A2386E"/>
    <w:rsid w:val="79BF6077"/>
    <w:rsid w:val="7CB55DBF"/>
    <w:rsid w:val="7DF100E8"/>
    <w:rsid w:val="7F20194F"/>
    <w:rsid w:val="7F4A2182"/>
    <w:rsid w:val="7F531EB8"/>
    <w:rsid w:val="7F910F92"/>
    <w:rsid w:val="7FDF5BF5"/>
    <w:rsid w:val="7FF24C76"/>
    <w:rsid w:val="9C3D7468"/>
    <w:rsid w:val="A1FFBB21"/>
    <w:rsid w:val="A7FF923F"/>
    <w:rsid w:val="B57E58B6"/>
    <w:rsid w:val="B6F15FC1"/>
    <w:rsid w:val="CBEFAA3C"/>
    <w:rsid w:val="CF3BBFD2"/>
    <w:rsid w:val="CFFD9DE3"/>
    <w:rsid w:val="DBFF33FB"/>
    <w:rsid w:val="DD35732F"/>
    <w:rsid w:val="DF37A7C2"/>
    <w:rsid w:val="DF9829B6"/>
    <w:rsid w:val="DFFB09E6"/>
    <w:rsid w:val="E7AFC5A9"/>
    <w:rsid w:val="E8F440BC"/>
    <w:rsid w:val="EF1BDE0A"/>
    <w:rsid w:val="EF82C07F"/>
    <w:rsid w:val="F0FB4096"/>
    <w:rsid w:val="F3FB376D"/>
    <w:rsid w:val="F7FEBCD0"/>
    <w:rsid w:val="FB7BFD90"/>
    <w:rsid w:val="FF654A8D"/>
    <w:rsid w:val="FFBF6657"/>
    <w:rsid w:val="FFEF2E7C"/>
    <w:rsid w:val="FFFD5BB0"/>
    <w:rsid w:val="FFFF4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17"/>
    <w:qFormat/>
    <w:uiPriority w:val="99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annotation reference"/>
    <w:basedOn w:val="12"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批注文字 Char"/>
    <w:basedOn w:val="12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Char"/>
    <w:basedOn w:val="12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12"/>
    <w:link w:val="7"/>
    <w:qFormat/>
    <w:locked/>
    <w:uiPriority w:val="99"/>
    <w:rPr>
      <w:rFonts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1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font2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4024</Words>
  <Characters>4260</Characters>
  <Lines>36</Lines>
  <Paragraphs>10</Paragraphs>
  <TotalTime>0</TotalTime>
  <ScaleCrop>false</ScaleCrop>
  <LinksUpToDate>false</LinksUpToDate>
  <CharactersWithSpaces>4816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2021-01-26T23:42:00Z</dcterms:created>
  <dc:creator>lenovo</dc:creator>
  <cp:lastModifiedBy>Administrator</cp:lastModifiedBy>
  <cp:lastPrinted>2023-04-18T16:49:00Z</cp:lastPrinted>
  <dcterms:modified xsi:type="dcterms:W3CDTF">2024-04-01T01:19:11Z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05A3344A75BF4096A4DCE5DEC370004C</vt:lpwstr>
  </property>
</Properties>
</file>