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sz w:val="44"/>
          <w:szCs w:val="44"/>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部门整体支出绩效自评报告</w:t>
      </w:r>
    </w:p>
    <w:p>
      <w:pPr>
        <w:keepNext w:val="0"/>
        <w:keepLines w:val="0"/>
        <w:pageBreakBefore w:val="0"/>
        <w:kinsoku/>
        <w:wordWrap/>
        <w:overflowPunct/>
        <w:topLinePunct w:val="0"/>
        <w:autoSpaceDE/>
        <w:autoSpaceDN/>
        <w:bidi w:val="0"/>
        <w:adjustRightInd/>
        <w:spacing w:line="540" w:lineRule="exact"/>
        <w:textAlignment w:val="auto"/>
        <w:rPr>
          <w:rFonts w:hint="default" w:ascii="Times New Roman" w:hAnsi="Times New Roman" w:eastAsia="方正小标宋_GBK" w:cs="Times New Roman"/>
          <w:sz w:val="32"/>
          <w:szCs w:val="32"/>
        </w:rPr>
      </w:pPr>
    </w:p>
    <w:p>
      <w:pPr>
        <w:pStyle w:val="22"/>
        <w:keepNext w:val="0"/>
        <w:keepLines w:val="0"/>
        <w:pageBreakBefore w:val="0"/>
        <w:widowControl/>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pStyle w:val="22"/>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default" w:ascii="Times New Roman" w:hAnsi="Times New Roman" w:eastAsia="黑体" w:cs="Times New Roman"/>
          <w:sz w:val="32"/>
          <w:szCs w:val="32"/>
          <w:lang w:val="en-US" w:eastAsia="zh-CN"/>
        </w:rPr>
      </w:pPr>
      <w:r>
        <w:rPr>
          <w:rFonts w:hint="default" w:ascii="Times New Roman" w:hAnsi="Times New Roman" w:eastAsia="楷体" w:cs="Times New Roman"/>
          <w:b/>
          <w:bCs/>
          <w:color w:val="010101"/>
          <w:kern w:val="0"/>
          <w:sz w:val="32"/>
          <w:szCs w:val="32"/>
        </w:rPr>
        <w:t>（一）部门职能概述</w:t>
      </w:r>
    </w:p>
    <w:p>
      <w:pPr>
        <w:pStyle w:val="22"/>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 w:cs="Times New Roman"/>
          <w:color w:val="010101"/>
          <w:kern w:val="0"/>
          <w:sz w:val="32"/>
          <w:szCs w:val="32"/>
        </w:rPr>
      </w:pPr>
      <w:r>
        <w:rPr>
          <w:rFonts w:hint="default" w:ascii="Times New Roman" w:hAnsi="Times New Roman" w:eastAsia="仿宋" w:cs="Times New Roman"/>
          <w:color w:val="010101"/>
          <w:kern w:val="0"/>
          <w:sz w:val="32"/>
          <w:szCs w:val="32"/>
        </w:rPr>
        <w:t>中国共产主义青年团是中国共产党领导的先进青年的群众组织，是广大青年在实践中学习共产主义的学校，是党的助手和后备军，是党联系青年的的桥梁和纽带，是国家政权的重要社会支柱。团市委是由中共衡阳市委领导。其主要职能是：行使中共衡阳市委赋予的领导全市共青团、青联、学联和少先队工作的职权，对全市青年社团组织进行指导和管理；参与制订青少年事业发展规划和青少年工作方针、政策，对衡阳市青少年宫等青少年活动阵地、青少年服务机构的建设等事务进行规划和管理；参与有关青少年事务法律、法规的制定和实施；协助中共衡阳市委、市人民政府的处理、协调与青少年利益有关的事务；调查青年思想动态和工作状况，研究青少年工作理论和青少年思想教育问题，提出相应的对策；开展各种有益的活动，提高青少年政治思想、科学文化素质；研究青少年违法犯罪问题，协调有关部门开展青少年法制宣传教育和未成年人保护工作；协助政府相关部门做好大、中小学学生的教育管理工作，维护学校稳定和社会安定团结；在全市经济建设中，组织和带领青年发挥生力军和突击队作用；会同有关部门做好青少年外事工作和市内外青少年组织、团体的交流工；做好青年统战对象的团结教育工作；指导和管理青少年宫；承办中共衡阳市委、市人民政府交办的其他事项。</w:t>
      </w:r>
    </w:p>
    <w:p>
      <w:pPr>
        <w:pStyle w:val="22"/>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default" w:ascii="Times New Roman" w:hAnsi="Times New Roman" w:eastAsia="楷体" w:cs="Times New Roman"/>
          <w:b/>
          <w:bCs/>
          <w:color w:val="010101"/>
          <w:kern w:val="0"/>
          <w:sz w:val="32"/>
          <w:szCs w:val="32"/>
        </w:rPr>
      </w:pPr>
      <w:r>
        <w:rPr>
          <w:rFonts w:hint="default" w:ascii="Times New Roman" w:hAnsi="Times New Roman" w:eastAsia="楷体" w:cs="Times New Roman"/>
          <w:b/>
          <w:bCs/>
          <w:color w:val="010101"/>
          <w:kern w:val="0"/>
          <w:sz w:val="32"/>
          <w:szCs w:val="32"/>
        </w:rPr>
        <w:t>（二）部门组织机构及人员情况</w:t>
      </w:r>
    </w:p>
    <w:p>
      <w:pPr>
        <w:pStyle w:val="22"/>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 w:cs="Times New Roman"/>
          <w:color w:val="010101"/>
          <w:kern w:val="0"/>
          <w:sz w:val="32"/>
          <w:szCs w:val="32"/>
          <w:lang w:val="en-US" w:eastAsia="zh-CN"/>
        </w:rPr>
      </w:pPr>
      <w:r>
        <w:rPr>
          <w:rFonts w:hint="default" w:eastAsia="仿宋" w:cs="Times New Roman"/>
          <w:color w:val="010101"/>
          <w:kern w:val="0"/>
          <w:sz w:val="32"/>
          <w:szCs w:val="32"/>
          <w:lang w:val="en"/>
        </w:rPr>
        <w:t>2024</w:t>
      </w:r>
      <w:r>
        <w:rPr>
          <w:rFonts w:hint="default" w:ascii="Times New Roman" w:hAnsi="Times New Roman" w:eastAsia="仿宋" w:cs="Times New Roman"/>
          <w:color w:val="010101"/>
          <w:kern w:val="0"/>
          <w:sz w:val="32"/>
          <w:szCs w:val="32"/>
        </w:rPr>
        <w:t>年度我委机关内设7个行政科室，</w:t>
      </w:r>
      <w:r>
        <w:rPr>
          <w:rFonts w:hint="eastAsia" w:eastAsia="仿宋" w:cs="Times New Roman"/>
          <w:color w:val="010101"/>
          <w:kern w:val="0"/>
          <w:sz w:val="32"/>
          <w:szCs w:val="32"/>
          <w:lang w:val="en-US" w:eastAsia="zh-CN"/>
        </w:rPr>
        <w:t>1</w:t>
      </w:r>
      <w:r>
        <w:rPr>
          <w:rFonts w:hint="default" w:ascii="Times New Roman" w:hAnsi="Times New Roman" w:eastAsia="仿宋" w:cs="Times New Roman"/>
          <w:color w:val="010101"/>
          <w:kern w:val="0"/>
          <w:sz w:val="32"/>
          <w:szCs w:val="32"/>
        </w:rPr>
        <w:t>个财政未独立的二级事业单位</w:t>
      </w:r>
      <w:r>
        <w:rPr>
          <w:rFonts w:hint="eastAsia" w:eastAsia="仿宋" w:cs="Times New Roman"/>
          <w:color w:val="010101"/>
          <w:kern w:val="0"/>
          <w:sz w:val="32"/>
          <w:szCs w:val="32"/>
          <w:lang w:eastAsia="zh-CN"/>
        </w:rPr>
        <w:t>（</w:t>
      </w:r>
      <w:r>
        <w:rPr>
          <w:rFonts w:hint="eastAsia" w:eastAsia="仿宋" w:cs="Times New Roman"/>
          <w:color w:val="010101"/>
          <w:kern w:val="0"/>
          <w:sz w:val="32"/>
          <w:szCs w:val="32"/>
          <w:lang w:val="en-US" w:eastAsia="zh-CN"/>
        </w:rPr>
        <w:t>2024年两个全额拨款事业单位撤并为1个，即衡阳市青少年成长服务中心</w:t>
      </w:r>
      <w:r>
        <w:rPr>
          <w:rFonts w:hint="eastAsia" w:eastAsia="仿宋" w:cs="Times New Roman"/>
          <w:color w:val="010101"/>
          <w:kern w:val="0"/>
          <w:sz w:val="32"/>
          <w:szCs w:val="32"/>
          <w:lang w:eastAsia="zh-CN"/>
        </w:rPr>
        <w:t>）</w:t>
      </w:r>
      <w:r>
        <w:rPr>
          <w:rFonts w:hint="eastAsia" w:eastAsia="仿宋" w:cs="Times New Roman"/>
          <w:color w:val="010101"/>
          <w:kern w:val="0"/>
          <w:sz w:val="32"/>
          <w:szCs w:val="32"/>
          <w:lang w:val="en-US" w:eastAsia="zh-CN"/>
        </w:rPr>
        <w:t>；</w:t>
      </w:r>
      <w:r>
        <w:rPr>
          <w:rFonts w:hint="default" w:ascii="Times New Roman" w:hAnsi="Times New Roman" w:eastAsia="仿宋" w:cs="Times New Roman"/>
          <w:color w:val="010101"/>
          <w:kern w:val="0"/>
          <w:sz w:val="32"/>
          <w:szCs w:val="32"/>
        </w:rPr>
        <w:t>1个直属二级预算单位</w:t>
      </w:r>
      <w:r>
        <w:rPr>
          <w:rFonts w:hint="eastAsia" w:eastAsia="仿宋" w:cs="Times New Roman"/>
          <w:color w:val="010101"/>
          <w:kern w:val="0"/>
          <w:sz w:val="32"/>
          <w:szCs w:val="32"/>
          <w:lang w:eastAsia="zh-CN"/>
        </w:rPr>
        <w:t>（衡阳市青少年宫）</w:t>
      </w:r>
      <w:r>
        <w:rPr>
          <w:rFonts w:hint="default" w:ascii="Times New Roman" w:hAnsi="Times New Roman" w:eastAsia="仿宋" w:cs="Times New Roman"/>
          <w:color w:val="010101"/>
          <w:kern w:val="0"/>
          <w:sz w:val="32"/>
          <w:szCs w:val="32"/>
        </w:rPr>
        <w:t>。现有编制24名，其中行政编制17名，全额事业编制6名，工勤编制1名</w:t>
      </w:r>
      <w:r>
        <w:rPr>
          <w:rFonts w:hint="eastAsia" w:eastAsia="仿宋" w:cs="Times New Roman"/>
          <w:color w:val="010101"/>
          <w:kern w:val="0"/>
          <w:sz w:val="32"/>
          <w:szCs w:val="32"/>
          <w:lang w:eastAsia="zh-CN"/>
        </w:rPr>
        <w:t>，截止</w:t>
      </w:r>
      <w:r>
        <w:rPr>
          <w:rFonts w:hint="default" w:eastAsia="仿宋" w:cs="Times New Roman"/>
          <w:color w:val="010101"/>
          <w:kern w:val="0"/>
          <w:sz w:val="32"/>
          <w:szCs w:val="32"/>
          <w:lang w:val="en" w:eastAsia="zh-CN"/>
        </w:rPr>
        <w:t>2024</w:t>
      </w:r>
      <w:r>
        <w:rPr>
          <w:rFonts w:hint="eastAsia" w:eastAsia="仿宋" w:cs="Times New Roman"/>
          <w:color w:val="010101"/>
          <w:kern w:val="0"/>
          <w:sz w:val="32"/>
          <w:szCs w:val="32"/>
          <w:lang w:val="en-US" w:eastAsia="zh-CN"/>
        </w:rPr>
        <w:t>年12月31日共19名在编人员</w:t>
      </w:r>
      <w:r>
        <w:rPr>
          <w:rFonts w:hint="default" w:ascii="Times New Roman" w:hAnsi="Times New Roman" w:eastAsia="仿宋" w:cs="Times New Roman"/>
          <w:color w:val="010101"/>
          <w:kern w:val="0"/>
          <w:sz w:val="32"/>
          <w:szCs w:val="32"/>
        </w:rPr>
        <w:t>。</w:t>
      </w:r>
    </w:p>
    <w:p>
      <w:pPr>
        <w:pStyle w:val="22"/>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50" w:lineRule="exact"/>
        <w:ind w:right="0" w:firstLine="643" w:firstLineChars="200"/>
        <w:jc w:val="both"/>
        <w:textAlignment w:val="auto"/>
        <w:rPr>
          <w:rFonts w:hint="default" w:ascii="楷体" w:hAnsi="楷体" w:eastAsia="楷体" w:cs="楷体"/>
          <w:b/>
          <w:bCs/>
          <w:color w:val="auto"/>
          <w:kern w:val="2"/>
          <w:sz w:val="32"/>
          <w:szCs w:val="32"/>
          <w:lang w:val="en-US" w:eastAsia="zh-CN" w:bidi="ar-SA"/>
        </w:rPr>
      </w:pPr>
      <w:r>
        <w:rPr>
          <w:rFonts w:hint="default" w:ascii="楷体" w:hAnsi="楷体" w:eastAsia="楷体" w:cs="楷体"/>
          <w:b/>
          <w:bCs/>
          <w:color w:val="auto"/>
          <w:kern w:val="2"/>
          <w:sz w:val="32"/>
          <w:szCs w:val="32"/>
          <w:lang w:val="en-US" w:eastAsia="zh-CN" w:bidi="ar-SA"/>
        </w:rPr>
        <w:t>（一）基本支出情况</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lang w:val="en" w:eastAsia="zh-CN"/>
        </w:rPr>
        <w:t>2024</w:t>
      </w:r>
      <w:r>
        <w:rPr>
          <w:rFonts w:hint="default" w:ascii="Times New Roman" w:hAnsi="Times New Roman" w:eastAsia="仿宋" w:cs="Times New Roman"/>
          <w:sz w:val="32"/>
          <w:szCs w:val="32"/>
          <w:lang w:val="en-US"/>
        </w:rPr>
        <w:t>年</w:t>
      </w:r>
      <w:r>
        <w:rPr>
          <w:rFonts w:hint="default" w:ascii="Times New Roman" w:hAnsi="Times New Roman" w:eastAsia="仿宋" w:cs="Times New Roman"/>
          <w:sz w:val="32"/>
          <w:szCs w:val="32"/>
        </w:rPr>
        <w:t>我委</w:t>
      </w:r>
      <w:r>
        <w:rPr>
          <w:rFonts w:hint="eastAsia" w:ascii="Times New Roman" w:hAnsi="Times New Roman" w:eastAsia="仿宋" w:cs="Times New Roman"/>
          <w:sz w:val="32"/>
          <w:szCs w:val="32"/>
          <w:lang w:eastAsia="zh-CN"/>
        </w:rPr>
        <w:t>年初预算</w:t>
      </w:r>
      <w:r>
        <w:rPr>
          <w:rFonts w:hint="default" w:ascii="Times New Roman" w:hAnsi="Times New Roman" w:eastAsia="仿宋" w:cs="Times New Roman"/>
          <w:sz w:val="32"/>
          <w:szCs w:val="32"/>
          <w:lang w:eastAsia="zh-CN"/>
        </w:rPr>
        <w:t>收入</w:t>
      </w:r>
      <w:r>
        <w:rPr>
          <w:rFonts w:hint="eastAsia" w:ascii="Times New Roman" w:hAnsi="Times New Roman" w:eastAsia="仿宋" w:cs="Times New Roman"/>
          <w:sz w:val="32"/>
          <w:szCs w:val="32"/>
          <w:lang w:val="en-US" w:eastAsia="zh-CN"/>
        </w:rPr>
        <w:t>416.42</w:t>
      </w:r>
      <w:r>
        <w:rPr>
          <w:rFonts w:hint="default" w:ascii="Times New Roman" w:hAnsi="Times New Roman" w:eastAsia="仿宋" w:cs="Times New Roman"/>
          <w:sz w:val="32"/>
          <w:szCs w:val="32"/>
          <w:lang w:eastAsia="zh-CN"/>
        </w:rPr>
        <w:t>万元</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年底</w:t>
      </w:r>
      <w:r>
        <w:rPr>
          <w:rFonts w:hint="default" w:ascii="Times New Roman" w:hAnsi="Times New Roman" w:eastAsia="仿宋" w:cs="Times New Roman"/>
          <w:sz w:val="32"/>
          <w:szCs w:val="32"/>
          <w:lang w:eastAsia="zh-CN"/>
        </w:rPr>
        <w:t>实际发生支出</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val="en" w:eastAsia="zh-CN"/>
        </w:rPr>
        <w:t>48.31</w:t>
      </w:r>
      <w:r>
        <w:rPr>
          <w:rFonts w:hint="default" w:ascii="Times New Roman" w:hAnsi="Times New Roman" w:eastAsia="仿宋" w:cs="Times New Roman"/>
          <w:sz w:val="32"/>
          <w:szCs w:val="32"/>
          <w:lang w:val="en-US" w:eastAsia="zh-CN"/>
        </w:rPr>
        <w:t>万元</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其中基本支出</w:t>
      </w:r>
      <w:r>
        <w:rPr>
          <w:rFonts w:hint="eastAsia" w:ascii="Times New Roman" w:hAnsi="Times New Roman" w:eastAsia="仿宋" w:cs="Times New Roman"/>
          <w:sz w:val="32"/>
          <w:szCs w:val="32"/>
          <w:lang w:val="en-US" w:eastAsia="zh-CN"/>
        </w:rPr>
        <w:t>353.86</w:t>
      </w:r>
      <w:r>
        <w:rPr>
          <w:rFonts w:hint="default" w:ascii="Times New Roman" w:hAnsi="Times New Roman" w:eastAsia="仿宋" w:cs="Times New Roman"/>
          <w:sz w:val="32"/>
          <w:szCs w:val="32"/>
          <w:lang w:eastAsia="zh-CN"/>
        </w:rPr>
        <w:t>万元</w:t>
      </w:r>
      <w:r>
        <w:rPr>
          <w:rFonts w:hint="eastAsia" w:ascii="Times New Roman" w:hAnsi="Times New Roman" w:eastAsia="仿宋"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按科目分类工资福利支出</w:t>
      </w:r>
      <w:r>
        <w:rPr>
          <w:rFonts w:hint="eastAsia" w:ascii="Times New Roman" w:hAnsi="Times New Roman" w:eastAsia="仿宋" w:cs="Times New Roman"/>
          <w:sz w:val="32"/>
          <w:szCs w:val="32"/>
          <w:lang w:val="en-US" w:eastAsia="zh-CN"/>
        </w:rPr>
        <w:t>284.81</w:t>
      </w:r>
      <w:r>
        <w:rPr>
          <w:rFonts w:hint="default" w:ascii="Times New Roman" w:hAnsi="Times New Roman" w:eastAsia="仿宋" w:cs="Times New Roman"/>
          <w:sz w:val="32"/>
          <w:szCs w:val="32"/>
        </w:rPr>
        <w:t>万元，商品服务支出</w:t>
      </w:r>
      <w:r>
        <w:rPr>
          <w:rFonts w:hint="eastAsia" w:ascii="Times New Roman" w:hAnsi="Times New Roman" w:eastAsia="仿宋" w:cs="Times New Roman"/>
          <w:sz w:val="32"/>
          <w:szCs w:val="32"/>
          <w:lang w:val="en-US" w:eastAsia="zh-CN"/>
        </w:rPr>
        <w:t>341.41</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val="en-US" w:eastAsia="zh-CN"/>
        </w:rPr>
        <w:t>对个人和家庭的补助</w:t>
      </w:r>
      <w:r>
        <w:rPr>
          <w:rFonts w:hint="eastAsia" w:ascii="Times New Roman" w:hAnsi="Times New Roman" w:eastAsia="仿宋" w:cs="Times New Roman"/>
          <w:sz w:val="32"/>
          <w:szCs w:val="32"/>
          <w:lang w:val="en-US" w:eastAsia="zh-CN"/>
        </w:rPr>
        <w:t>22.1万</w:t>
      </w:r>
      <w:r>
        <w:rPr>
          <w:rFonts w:hint="default" w:ascii="Times New Roman" w:hAnsi="Times New Roman" w:eastAsia="仿宋" w:cs="Times New Roman"/>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“三公”经费</w:t>
      </w:r>
      <w:r>
        <w:rPr>
          <w:rFonts w:hint="default" w:ascii="Times New Roman" w:hAnsi="Times New Roman" w:eastAsia="仿宋" w:cs="Times New Roman"/>
          <w:sz w:val="32"/>
          <w:szCs w:val="32"/>
          <w:lang w:val="en-US" w:eastAsia="zh-CN"/>
        </w:rPr>
        <w:t>支出</w:t>
      </w:r>
      <w:r>
        <w:rPr>
          <w:rFonts w:hint="eastAsia" w:ascii="Times New Roman" w:hAnsi="Times New Roman" w:eastAsia="仿宋" w:cs="Times New Roman"/>
          <w:sz w:val="32"/>
          <w:szCs w:val="32"/>
          <w:lang w:val="en-US" w:eastAsia="zh-CN"/>
        </w:rPr>
        <w:t>4.07</w:t>
      </w:r>
      <w:r>
        <w:rPr>
          <w:rFonts w:hint="default" w:ascii="Times New Roman" w:hAnsi="Times New Roman" w:eastAsia="仿宋" w:cs="Times New Roman"/>
          <w:sz w:val="32"/>
          <w:szCs w:val="32"/>
          <w:lang w:val="en-US" w:eastAsia="zh-CN"/>
        </w:rPr>
        <w:t>万元，其中：公务用车购置和维护经费</w:t>
      </w:r>
      <w:r>
        <w:rPr>
          <w:rFonts w:hint="eastAsia" w:ascii="Times New Roman" w:hAnsi="Times New Roman" w:eastAsia="仿宋" w:cs="Times New Roman"/>
          <w:sz w:val="32"/>
          <w:szCs w:val="32"/>
          <w:lang w:val="en-US" w:eastAsia="zh-CN"/>
        </w:rPr>
        <w:t>3.57</w:t>
      </w:r>
      <w:r>
        <w:rPr>
          <w:rFonts w:hint="default" w:ascii="Times New Roman" w:hAnsi="Times New Roman" w:eastAsia="仿宋" w:cs="Times New Roman"/>
          <w:sz w:val="32"/>
          <w:szCs w:val="32"/>
          <w:lang w:val="en-US" w:eastAsia="zh-CN"/>
        </w:rPr>
        <w:t>万元，公务接待费0.</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val="en-US" w:eastAsia="zh-CN"/>
        </w:rPr>
        <w:t>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50" w:lineRule="exact"/>
        <w:ind w:right="0" w:firstLine="643" w:firstLineChars="200"/>
        <w:jc w:val="both"/>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w:t>
      </w:r>
      <w:r>
        <w:rPr>
          <w:rFonts w:hint="default" w:ascii="楷体" w:hAnsi="楷体" w:eastAsia="楷体" w:cs="楷体"/>
          <w:b/>
          <w:bCs/>
          <w:color w:val="auto"/>
          <w:kern w:val="2"/>
          <w:sz w:val="32"/>
          <w:szCs w:val="32"/>
          <w:lang w:val="en-US" w:eastAsia="zh-CN" w:bidi="ar-SA"/>
        </w:rPr>
        <w:t>项目支出情况</w:t>
      </w:r>
    </w:p>
    <w:p>
      <w:pPr>
        <w:pStyle w:val="22"/>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全年计划项目总成本</w:t>
      </w:r>
      <w:r>
        <w:rPr>
          <w:rFonts w:hint="eastAsia" w:ascii="Times New Roman" w:hAnsi="Times New Roman" w:eastAsia="仿宋" w:cs="Times New Roman"/>
          <w:kern w:val="2"/>
          <w:sz w:val="32"/>
          <w:szCs w:val="32"/>
          <w:lang w:val="en-US" w:eastAsia="zh-CN" w:bidi="ar-SA"/>
        </w:rPr>
        <w:t>267.92</w:t>
      </w:r>
      <w:r>
        <w:rPr>
          <w:rFonts w:hint="default" w:ascii="Times New Roman" w:hAnsi="Times New Roman" w:eastAsia="仿宋" w:cs="Times New Roman"/>
          <w:kern w:val="2"/>
          <w:sz w:val="32"/>
          <w:szCs w:val="32"/>
          <w:lang w:val="en-US" w:eastAsia="zh-CN" w:bidi="ar-SA"/>
        </w:rPr>
        <w:t>万元，共</w:t>
      </w:r>
      <w:r>
        <w:rPr>
          <w:rFonts w:hint="eastAsia" w:eastAsia="仿宋" w:cs="Times New Roman"/>
          <w:kern w:val="2"/>
          <w:sz w:val="32"/>
          <w:szCs w:val="32"/>
          <w:lang w:val="en-US" w:eastAsia="zh-CN" w:bidi="ar-SA"/>
        </w:rPr>
        <w:t>11</w:t>
      </w:r>
      <w:r>
        <w:rPr>
          <w:rFonts w:hint="default" w:ascii="Times New Roman" w:hAnsi="Times New Roman" w:eastAsia="仿宋" w:cs="Times New Roman"/>
          <w:kern w:val="2"/>
          <w:sz w:val="32"/>
          <w:szCs w:val="32"/>
          <w:lang w:val="en-US" w:eastAsia="zh-CN" w:bidi="ar-SA"/>
        </w:rPr>
        <w:t>个项目，其中：青少年事业发展专项经费</w:t>
      </w:r>
      <w:r>
        <w:rPr>
          <w:rFonts w:hint="eastAsia" w:ascii="Times New Roman" w:hAnsi="Times New Roman" w:eastAsia="仿宋" w:cs="Times New Roman"/>
          <w:kern w:val="2"/>
          <w:sz w:val="32"/>
          <w:szCs w:val="32"/>
          <w:lang w:val="en-US" w:eastAsia="zh-CN" w:bidi="ar-SA"/>
        </w:rPr>
        <w:t>27</w:t>
      </w:r>
      <w:r>
        <w:rPr>
          <w:rFonts w:hint="default" w:ascii="Times New Roman" w:hAnsi="Times New Roman" w:eastAsia="仿宋" w:cs="Times New Roman"/>
          <w:kern w:val="2"/>
          <w:sz w:val="32"/>
          <w:szCs w:val="32"/>
          <w:lang w:val="en-US" w:eastAsia="zh-CN" w:bidi="ar-SA"/>
        </w:rPr>
        <w:t>万元；青联、学联、少工委等经费</w:t>
      </w:r>
      <w:r>
        <w:rPr>
          <w:rFonts w:hint="eastAsia" w:eastAsia="仿宋" w:cs="Times New Roman"/>
          <w:kern w:val="2"/>
          <w:sz w:val="32"/>
          <w:szCs w:val="32"/>
          <w:lang w:val="en-US" w:eastAsia="zh-CN" w:bidi="ar-SA"/>
        </w:rPr>
        <w:t>18</w:t>
      </w:r>
      <w:r>
        <w:rPr>
          <w:rFonts w:hint="default" w:ascii="Times New Roman" w:hAnsi="Times New Roman" w:eastAsia="仿宋" w:cs="Times New Roman"/>
          <w:kern w:val="2"/>
          <w:sz w:val="32"/>
          <w:szCs w:val="32"/>
          <w:lang w:val="en-US" w:eastAsia="zh-CN" w:bidi="ar-SA"/>
        </w:rPr>
        <w:t>万元；预防青少年违法犯罪、共青团意识教育经费</w:t>
      </w:r>
      <w:r>
        <w:rPr>
          <w:rFonts w:hint="eastAsia" w:eastAsia="仿宋" w:cs="Times New Roman"/>
          <w:kern w:val="2"/>
          <w:sz w:val="32"/>
          <w:szCs w:val="32"/>
          <w:lang w:val="en-US" w:eastAsia="zh-CN" w:bidi="ar-SA"/>
        </w:rPr>
        <w:t>10</w:t>
      </w:r>
      <w:r>
        <w:rPr>
          <w:rFonts w:hint="default" w:ascii="Times New Roman" w:hAnsi="Times New Roman" w:eastAsia="仿宋" w:cs="Times New Roman"/>
          <w:kern w:val="2"/>
          <w:sz w:val="32"/>
          <w:szCs w:val="32"/>
          <w:lang w:val="en-US" w:eastAsia="zh-CN" w:bidi="ar-SA"/>
        </w:rPr>
        <w:t>万元</w:t>
      </w:r>
      <w:r>
        <w:rPr>
          <w:rFonts w:hint="eastAsia"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青年志愿者、青年就业创业工作经费</w:t>
      </w:r>
      <w:r>
        <w:rPr>
          <w:rFonts w:hint="eastAsia" w:eastAsia="仿宋" w:cs="Times New Roman"/>
          <w:kern w:val="2"/>
          <w:sz w:val="32"/>
          <w:szCs w:val="32"/>
          <w:lang w:val="en-US" w:eastAsia="zh-CN" w:bidi="ar-SA"/>
        </w:rPr>
        <w:t>5</w:t>
      </w:r>
      <w:r>
        <w:rPr>
          <w:rFonts w:hint="default" w:ascii="Times New Roman" w:hAnsi="Times New Roman" w:eastAsia="仿宋" w:cs="Times New Roman"/>
          <w:kern w:val="2"/>
          <w:sz w:val="32"/>
          <w:szCs w:val="32"/>
          <w:lang w:val="en-US" w:eastAsia="zh-CN" w:bidi="ar-SA"/>
        </w:rPr>
        <w:t>万元；旅发大会志愿服务经费1</w:t>
      </w:r>
      <w:r>
        <w:rPr>
          <w:rFonts w:hint="eastAsia" w:ascii="Times New Roman" w:hAnsi="Times New Roman" w:eastAsia="仿宋" w:cs="Times New Roman"/>
          <w:kern w:val="2"/>
          <w:sz w:val="32"/>
          <w:szCs w:val="32"/>
          <w:lang w:val="en-US" w:eastAsia="zh-CN" w:bidi="ar-SA"/>
        </w:rPr>
        <w:t>35.08</w:t>
      </w:r>
      <w:r>
        <w:rPr>
          <w:rFonts w:hint="default" w:ascii="Times New Roman" w:hAnsi="Times New Roman" w:eastAsia="仿宋" w:cs="Times New Roman"/>
          <w:kern w:val="2"/>
          <w:sz w:val="32"/>
          <w:szCs w:val="32"/>
          <w:lang w:val="en-US" w:eastAsia="zh-CN" w:bidi="ar-SA"/>
        </w:rPr>
        <w:t>万元；第</w:t>
      </w:r>
      <w:r>
        <w:rPr>
          <w:rFonts w:hint="eastAsia" w:ascii="Times New Roman" w:hAnsi="Times New Roman" w:eastAsia="仿宋" w:cs="Times New Roman"/>
          <w:kern w:val="2"/>
          <w:sz w:val="32"/>
          <w:szCs w:val="32"/>
          <w:lang w:val="en-US" w:eastAsia="zh-CN" w:bidi="ar-SA"/>
        </w:rPr>
        <w:t>三</w:t>
      </w:r>
      <w:r>
        <w:rPr>
          <w:rFonts w:hint="default" w:ascii="Times New Roman" w:hAnsi="Times New Roman" w:eastAsia="仿宋" w:cs="Times New Roman"/>
          <w:kern w:val="2"/>
          <w:sz w:val="32"/>
          <w:szCs w:val="32"/>
          <w:lang w:val="en-US" w:eastAsia="zh-CN" w:bidi="ar-SA"/>
        </w:rPr>
        <w:t>届旅发大会工作经费5</w:t>
      </w:r>
      <w:r>
        <w:rPr>
          <w:rFonts w:hint="eastAsia" w:ascii="Times New Roman" w:hAnsi="Times New Roman" w:eastAsia="仿宋" w:cs="Times New Roman"/>
          <w:kern w:val="2"/>
          <w:sz w:val="32"/>
          <w:szCs w:val="32"/>
          <w:lang w:val="en-US" w:eastAsia="zh-CN" w:bidi="ar-SA"/>
        </w:rPr>
        <w:t>.96</w:t>
      </w:r>
      <w:r>
        <w:rPr>
          <w:rFonts w:hint="default" w:ascii="Times New Roman" w:hAnsi="Times New Roman" w:eastAsia="仿宋" w:cs="Times New Roman"/>
          <w:kern w:val="2"/>
          <w:sz w:val="32"/>
          <w:szCs w:val="32"/>
          <w:lang w:val="en-US" w:eastAsia="zh-CN" w:bidi="ar-SA"/>
        </w:rPr>
        <w:t>万元；2024-2025年度大学生志愿服务西部计划“芙蓉花开”地方项目经费22.1万元；团代会项目27.87万元；驻村帮扶补助资金项目</w:t>
      </w:r>
      <w:r>
        <w:rPr>
          <w:rFonts w:hint="eastAsia" w:ascii="Times New Roman" w:hAnsi="Times New Roman" w:eastAsia="仿宋" w:cs="Times New Roman"/>
          <w:kern w:val="2"/>
          <w:sz w:val="32"/>
          <w:szCs w:val="32"/>
          <w:lang w:val="en-US" w:eastAsia="zh-CN" w:bidi="ar-SA"/>
        </w:rPr>
        <w:t>2.91</w:t>
      </w:r>
      <w:r>
        <w:rPr>
          <w:rFonts w:hint="default" w:ascii="Times New Roman" w:hAnsi="Times New Roman" w:eastAsia="仿宋" w:cs="Times New Roman"/>
          <w:kern w:val="2"/>
          <w:sz w:val="32"/>
          <w:szCs w:val="32"/>
          <w:lang w:val="en-US" w:eastAsia="zh-CN" w:bidi="ar-SA"/>
        </w:rPr>
        <w:t>万元；上级补助资金4万元；市级文产资金10万元</w:t>
      </w:r>
      <w:r>
        <w:rPr>
          <w:rFonts w:hint="default" w:eastAsia="仿宋" w:cs="Times New Roman"/>
          <w:kern w:val="2"/>
          <w:sz w:val="32"/>
          <w:szCs w:val="32"/>
          <w:lang w:val="en" w:eastAsia="zh-CN" w:bidi="ar-SA"/>
        </w:rPr>
        <w:t>；其它资金</w:t>
      </w:r>
      <w:r>
        <w:rPr>
          <w:rFonts w:hint="default" w:ascii="Times New Roman" w:hAnsi="Times New Roman" w:eastAsia="仿宋" w:cs="Times New Roman"/>
          <w:kern w:val="2"/>
          <w:sz w:val="32"/>
          <w:szCs w:val="32"/>
          <w:lang w:val="en-US" w:eastAsia="zh-CN" w:bidi="ar-SA"/>
        </w:rPr>
        <w:t>。各项目支出均严格执行行政事业单位财务管理制度及相关政策精神，合理安排资金投向。</w:t>
      </w:r>
    </w:p>
    <w:p>
      <w:pPr>
        <w:pStyle w:val="22"/>
        <w:keepNext w:val="0"/>
        <w:keepLines w:val="0"/>
        <w:pageBreakBefore w:val="0"/>
        <w:widowControl/>
        <w:kinsoku/>
        <w:wordWrap/>
        <w:overflowPunct/>
        <w:topLinePunct w:val="0"/>
        <w:autoSpaceDE/>
        <w:autoSpaceDN/>
        <w:bidi w:val="0"/>
        <w:adjustRightInd/>
        <w:snapToGrid/>
        <w:spacing w:line="54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 w:cs="Times New Roman"/>
          <w:kern w:val="2"/>
          <w:sz w:val="32"/>
          <w:szCs w:val="32"/>
          <w:lang w:val="en" w:eastAsia="zh-CN" w:bidi="ar-SA"/>
        </w:rPr>
      </w:pPr>
      <w:r>
        <w:rPr>
          <w:rFonts w:hint="default" w:ascii="Times New Roman" w:hAnsi="Times New Roman" w:eastAsia="仿宋" w:cs="Times New Roman"/>
          <w:kern w:val="2"/>
          <w:sz w:val="32"/>
          <w:szCs w:val="32"/>
          <w:lang w:val="en" w:eastAsia="zh-CN" w:bidi="ar-SA"/>
        </w:rPr>
        <w:t>今年以来，在市委和团省委的坚强领导下，共青团衡阳市委坚持以习近平新时代中国特色社会主义思想为指导，深入</w:t>
      </w:r>
      <w:r>
        <w:rPr>
          <w:rFonts w:hint="default" w:ascii="Times New Roman" w:hAnsi="Times New Roman" w:eastAsia="仿宋" w:cs="Times New Roman"/>
          <w:kern w:val="2"/>
          <w:sz w:val="32"/>
          <w:szCs w:val="32"/>
          <w:lang w:val="en-US" w:eastAsia="zh-CN" w:bidi="ar-SA"/>
        </w:rPr>
        <w:t>学习宣传贯彻党的二十大和二十届二中、三中全会精神，以及团十九大精神，团结引领全市广大团员青年为大力实施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制造立市、文旅兴城</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发展战略、加快推进区域中心化进程贡献青春力量，各项工作取得了明显进步。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简体" w:cs="Times New Roman"/>
          <w:color w:val="auto"/>
          <w:spacing w:val="0"/>
          <w:sz w:val="32"/>
          <w:szCs w:val="32"/>
          <w:lang w:val="en-US" w:eastAsia="zh-CN"/>
        </w:rPr>
      </w:pPr>
      <w:r>
        <w:rPr>
          <w:rFonts w:hint="eastAsia" w:ascii="楷体" w:hAnsi="楷体" w:eastAsia="楷体" w:cs="楷体"/>
          <w:b w:val="0"/>
          <w:bCs w:val="0"/>
          <w:color w:val="auto"/>
          <w:sz w:val="32"/>
          <w:szCs w:val="32"/>
          <w:lang w:val="en-US" w:eastAsia="zh-CN"/>
        </w:rPr>
        <w:t>（一）坚持为党育人，思想政治引领不断强化。</w:t>
      </w:r>
      <w:r>
        <w:rPr>
          <w:rFonts w:hint="default" w:ascii="Times New Roman" w:hAnsi="Times New Roman" w:eastAsia="仿宋" w:cs="Times New Roman"/>
          <w:kern w:val="2"/>
          <w:sz w:val="32"/>
          <w:szCs w:val="32"/>
          <w:lang w:val="en-US" w:eastAsia="zh-CN" w:bidi="ar-SA"/>
        </w:rPr>
        <w:t>我们牢牢把握为党育人的根本任务，坚持用习近平新时代中国特色社会主义思想武装青少年。</w:t>
      </w:r>
      <w:r>
        <w:rPr>
          <w:rFonts w:hint="eastAsia" w:ascii="方正楷体简体" w:hAnsi="方正楷体简体" w:eastAsia="方正楷体简体" w:cs="方正楷体简体"/>
          <w:b/>
          <w:bCs/>
          <w:sz w:val="32"/>
          <w:szCs w:val="32"/>
          <w:lang w:val="en-US" w:eastAsia="zh-CN"/>
        </w:rPr>
        <w:t>一是坚持用党的创新理论武装青年。</w:t>
      </w:r>
      <w:r>
        <w:rPr>
          <w:rFonts w:hint="default" w:ascii="Times New Roman" w:hAnsi="Times New Roman" w:eastAsia="仿宋" w:cs="Times New Roman"/>
          <w:kern w:val="2"/>
          <w:sz w:val="32"/>
          <w:szCs w:val="32"/>
          <w:lang w:val="en-US" w:eastAsia="zh-CN" w:bidi="ar-SA"/>
        </w:rPr>
        <w:t>持续巩固团员和青年主题教育成果，深入学习宣传贯彻党的二十届三中全会精神，推出</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理XIANG青年·青春为中国式现代化挺膺担当</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线上宣讲示范课5期，组建百人</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青年讲师团</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分类分众开展主题宣讲活动240余场，覆盖青少年</w:t>
      </w:r>
      <w:r>
        <w:rPr>
          <w:rFonts w:hint="eastAsia" w:ascii="Times New Roman" w:hAnsi="Times New Roman" w:eastAsia="仿宋" w:cs="Times New Roman"/>
          <w:kern w:val="2"/>
          <w:sz w:val="32"/>
          <w:szCs w:val="32"/>
          <w:lang w:val="en-US" w:eastAsia="zh-CN" w:bidi="ar-SA"/>
        </w:rPr>
        <w:t>5</w:t>
      </w:r>
      <w:r>
        <w:rPr>
          <w:rFonts w:hint="default" w:ascii="Times New Roman" w:hAnsi="Times New Roman" w:eastAsia="仿宋" w:cs="Times New Roman"/>
          <w:kern w:val="2"/>
          <w:sz w:val="32"/>
          <w:szCs w:val="32"/>
          <w:lang w:val="en-US" w:eastAsia="zh-CN" w:bidi="ar-SA"/>
        </w:rPr>
        <w:t>万人次。</w:t>
      </w:r>
      <w:r>
        <w:rPr>
          <w:rFonts w:hint="default" w:ascii="方正楷体简体" w:hAnsi="方正楷体简体" w:eastAsia="方正楷体简体" w:cs="方正楷体简体"/>
          <w:b/>
          <w:bCs/>
          <w:sz w:val="32"/>
          <w:szCs w:val="32"/>
          <w:lang w:val="en-US" w:eastAsia="zh-CN"/>
        </w:rPr>
        <w:t>二是坚持用仪式教育感召青年。</w:t>
      </w:r>
      <w:r>
        <w:rPr>
          <w:rFonts w:hint="default" w:ascii="Times New Roman" w:hAnsi="Times New Roman" w:eastAsia="仿宋" w:cs="Times New Roman"/>
          <w:kern w:val="2"/>
          <w:sz w:val="32"/>
          <w:szCs w:val="32"/>
          <w:lang w:val="en-US" w:eastAsia="zh-CN" w:bidi="ar-SA"/>
        </w:rPr>
        <w:t>广泛开展纪念五四运动105周年、</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争做新时代好队员</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红领巾爱祖国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等主题团队日活动2000余场，集中开展入团入队仪式1000余场，切实增强了广大团员队员的光荣感和责任感。</w:t>
      </w:r>
      <w:r>
        <w:rPr>
          <w:rFonts w:hint="default" w:ascii="方正楷体简体" w:hAnsi="方正楷体简体" w:eastAsia="方正楷体简体" w:cs="方正楷体简体"/>
          <w:b/>
          <w:bCs/>
          <w:sz w:val="32"/>
          <w:szCs w:val="32"/>
          <w:lang w:val="en-US" w:eastAsia="zh-CN"/>
        </w:rPr>
        <w:t>三是坚持用实践育人培育青年。</w:t>
      </w:r>
      <w:r>
        <w:rPr>
          <w:rFonts w:hint="default" w:ascii="Times New Roman" w:hAnsi="Times New Roman" w:eastAsia="仿宋" w:cs="Times New Roman"/>
          <w:kern w:val="2"/>
          <w:sz w:val="32"/>
          <w:szCs w:val="32"/>
          <w:lang w:val="en-US" w:eastAsia="zh-CN" w:bidi="ar-SA"/>
        </w:rPr>
        <w:t>连续第三年举办</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青雁</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成长夏令营，命名博物馆、科技馆、红色教育基地等各类少先队校外实践教育阵地187个。开展</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三下乡</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返家乡</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、社区青春行动等主题活动，1.1万名青年在活动中树牢了理想信仰、厚植了家国情怀。</w:t>
      </w:r>
      <w:r>
        <w:rPr>
          <w:rFonts w:hint="default" w:ascii="方正楷体简体" w:hAnsi="方正楷体简体" w:eastAsia="方正楷体简体" w:cs="方正楷体简体"/>
          <w:b/>
          <w:bCs/>
          <w:sz w:val="32"/>
          <w:szCs w:val="32"/>
          <w:lang w:val="en-US" w:eastAsia="zh-CN"/>
        </w:rPr>
        <w:t>四是坚持用宣传教育引领青年。</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青春衡阳</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微信公众号2024年共发布图文和视频消息612篇，总阅读量530.6万，多次登上全国团组织新媒体影响力排行榜单前30，长期位居全省第一方阵，连续7年荣获省青媒奖，</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青春衡阳</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微信公众号、视频号、抖音号、小红书、B站和</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衡阳共青团</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微信公众号、微博等7个账号，全网粉丝超56万。</w:t>
      </w:r>
      <w:r>
        <w:rPr>
          <w:rFonts w:hint="default" w:ascii="方正楷体简体" w:hAnsi="方正楷体简体" w:eastAsia="方正楷体简体" w:cs="方正楷体简体"/>
          <w:b/>
          <w:bCs/>
          <w:sz w:val="32"/>
          <w:szCs w:val="32"/>
          <w:lang w:val="en-US" w:eastAsia="zh-CN"/>
        </w:rPr>
        <w:t>五是坚持用先进典型激励青年。</w:t>
      </w:r>
      <w:r>
        <w:rPr>
          <w:rFonts w:hint="default" w:ascii="Times New Roman" w:hAnsi="Times New Roman" w:eastAsia="仿宋" w:cs="Times New Roman"/>
          <w:kern w:val="2"/>
          <w:sz w:val="32"/>
          <w:szCs w:val="32"/>
          <w:lang w:val="en-US" w:eastAsia="zh-CN" w:bidi="ar-SA"/>
        </w:rPr>
        <w:t>挖掘</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两红两优</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红领巾奖章</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等先进个人968人、集体233个，推荐朱霞同志获评中国青年五四奖章，为衡阳首次；青年创新创业、关爱留守儿童、志愿服务等经验做法，</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山村小学里的摇滚乐队</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决口后的24小时</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等典型事迹，被央视、人民日报、湖南新闻联播、湖南日报等央媒省媒推介。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 w:cs="Times New Roman"/>
          <w:kern w:val="2"/>
          <w:sz w:val="32"/>
          <w:szCs w:val="32"/>
          <w:lang w:val="en-US" w:eastAsia="zh-CN" w:bidi="ar-SA"/>
        </w:rPr>
      </w:pPr>
      <w:r>
        <w:rPr>
          <w:rFonts w:hint="eastAsia" w:ascii="楷体" w:hAnsi="楷体" w:eastAsia="楷体" w:cs="楷体"/>
          <w:b w:val="0"/>
          <w:bCs w:val="0"/>
          <w:color w:val="auto"/>
          <w:sz w:val="32"/>
          <w:szCs w:val="32"/>
          <w:lang w:val="en-US" w:eastAsia="zh-CN"/>
        </w:rPr>
        <w:t>（</w:t>
      </w:r>
      <w:r>
        <w:rPr>
          <w:rFonts w:hint="default"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val="en-US" w:eastAsia="zh-CN"/>
        </w:rPr>
        <w:t>）</w:t>
      </w:r>
      <w:r>
        <w:rPr>
          <w:rFonts w:hint="default" w:ascii="楷体" w:hAnsi="楷体" w:eastAsia="楷体" w:cs="楷体"/>
          <w:b w:val="0"/>
          <w:bCs w:val="0"/>
          <w:color w:val="auto"/>
          <w:sz w:val="32"/>
          <w:szCs w:val="32"/>
          <w:lang w:val="en-US" w:eastAsia="zh-CN"/>
        </w:rPr>
        <w:t>坚持挺膺担当，青年先锋力量不断彰显</w:t>
      </w:r>
      <w:r>
        <w:rPr>
          <w:rFonts w:hint="eastAsia" w:ascii="楷体" w:hAnsi="楷体" w:eastAsia="楷体" w:cs="楷体"/>
          <w:b w:val="0"/>
          <w:bCs w:val="0"/>
          <w:color w:val="auto"/>
          <w:sz w:val="32"/>
          <w:szCs w:val="32"/>
          <w:lang w:val="en-US" w:eastAsia="zh-CN"/>
        </w:rPr>
        <w:t>。</w:t>
      </w:r>
      <w:r>
        <w:rPr>
          <w:rFonts w:hint="default" w:ascii="Times New Roman" w:hAnsi="Times New Roman" w:eastAsia="仿宋" w:cs="Times New Roman"/>
          <w:kern w:val="2"/>
          <w:sz w:val="32"/>
          <w:szCs w:val="32"/>
          <w:lang w:val="en-US" w:eastAsia="zh-CN" w:bidi="ar-SA"/>
        </w:rPr>
        <w:t>我们牢牢把握围绕中心、服务大局的工作主线，动员广大团员青年在大力实施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制造立市、文旅兴城</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发展战略、加快推进区域中心化进程中挺膺担当。</w:t>
      </w:r>
      <w:r>
        <w:rPr>
          <w:rFonts w:hint="default" w:ascii="方正楷体简体" w:hAnsi="方正楷体简体" w:eastAsia="方正楷体简体" w:cs="方正楷体简体"/>
          <w:b/>
          <w:bCs/>
          <w:sz w:val="32"/>
          <w:szCs w:val="32"/>
          <w:lang w:val="en-US" w:eastAsia="zh-CN"/>
        </w:rPr>
        <w:t>一是助力</w:t>
      </w:r>
      <w:r>
        <w:rPr>
          <w:rFonts w:hint="eastAsia" w:ascii="方正楷体简体" w:hAnsi="方正楷体简体" w:eastAsia="方正楷体简体" w:cs="方正楷体简体"/>
          <w:b/>
          <w:bCs/>
          <w:sz w:val="32"/>
          <w:szCs w:val="32"/>
          <w:lang w:val="en-US" w:eastAsia="zh-CN"/>
        </w:rPr>
        <w:t>“</w:t>
      </w:r>
      <w:r>
        <w:rPr>
          <w:rFonts w:hint="default" w:ascii="方正楷体简体" w:hAnsi="方正楷体简体" w:eastAsia="方正楷体简体" w:cs="方正楷体简体"/>
          <w:b/>
          <w:bCs/>
          <w:sz w:val="32"/>
          <w:szCs w:val="32"/>
          <w:lang w:val="en-US" w:eastAsia="zh-CN"/>
        </w:rPr>
        <w:t>制造立市</w:t>
      </w:r>
      <w:r>
        <w:rPr>
          <w:rFonts w:hint="eastAsia" w:ascii="方正楷体简体" w:hAnsi="方正楷体简体" w:eastAsia="方正楷体简体" w:cs="方正楷体简体"/>
          <w:b/>
          <w:bCs/>
          <w:sz w:val="32"/>
          <w:szCs w:val="32"/>
          <w:lang w:val="en-US" w:eastAsia="zh-CN"/>
        </w:rPr>
        <w:t>”</w:t>
      </w:r>
      <w:r>
        <w:rPr>
          <w:rFonts w:hint="default" w:ascii="方正楷体简体" w:hAnsi="方正楷体简体" w:eastAsia="方正楷体简体" w:cs="方正楷体简体"/>
          <w:b/>
          <w:bCs/>
          <w:sz w:val="32"/>
          <w:szCs w:val="32"/>
          <w:lang w:val="en-US" w:eastAsia="zh-CN"/>
        </w:rPr>
        <w:t>。</w:t>
      </w:r>
      <w:r>
        <w:rPr>
          <w:rFonts w:hint="default" w:ascii="Times New Roman" w:hAnsi="Times New Roman" w:eastAsia="仿宋" w:cs="Times New Roman"/>
          <w:kern w:val="2"/>
          <w:sz w:val="32"/>
          <w:szCs w:val="32"/>
          <w:lang w:val="en-US" w:eastAsia="zh-CN" w:bidi="ar-SA"/>
        </w:rPr>
        <w:t>围绕持续擦亮</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五张产业名片，组织140支生产建设、科研攻关、增产节约一线青年突击队，推荐湖南省青年文明号6个，评选市级青年文明号20个，组织34个集体创建国、省青年安全生产示范岗，举办劳动技能竞赛6场；持续开展超级</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链习生</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扬帆计划</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大学生实习见习活动，募集市直机关事业单位、市内重点企业岗位2900余个。组织开展职场体验活动13场，在微信公众号推出</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职等你来</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招聘信息合集12期发布岗位2400余个。</w:t>
      </w:r>
      <w:r>
        <w:rPr>
          <w:rFonts w:hint="default" w:ascii="方正楷体简体" w:hAnsi="方正楷体简体" w:eastAsia="方正楷体简体" w:cs="方正楷体简体"/>
          <w:b/>
          <w:bCs/>
          <w:sz w:val="32"/>
          <w:szCs w:val="32"/>
          <w:lang w:val="en-US" w:eastAsia="zh-CN"/>
        </w:rPr>
        <w:t>二是助力</w:t>
      </w:r>
      <w:r>
        <w:rPr>
          <w:rFonts w:hint="eastAsia" w:ascii="方正楷体简体" w:hAnsi="方正楷体简体" w:eastAsia="方正楷体简体" w:cs="方正楷体简体"/>
          <w:b/>
          <w:bCs/>
          <w:sz w:val="32"/>
          <w:szCs w:val="32"/>
          <w:lang w:val="en-US" w:eastAsia="zh-CN"/>
        </w:rPr>
        <w:t>“</w:t>
      </w:r>
      <w:r>
        <w:rPr>
          <w:rFonts w:hint="default" w:ascii="方正楷体简体" w:hAnsi="方正楷体简体" w:eastAsia="方正楷体简体" w:cs="方正楷体简体"/>
          <w:b/>
          <w:bCs/>
          <w:sz w:val="32"/>
          <w:szCs w:val="32"/>
          <w:lang w:val="en-US" w:eastAsia="zh-CN"/>
        </w:rPr>
        <w:t>文旅兴城</w:t>
      </w:r>
      <w:r>
        <w:rPr>
          <w:rFonts w:hint="eastAsia" w:ascii="方正楷体简体" w:hAnsi="方正楷体简体" w:eastAsia="方正楷体简体" w:cs="方正楷体简体"/>
          <w:b/>
          <w:bCs/>
          <w:sz w:val="32"/>
          <w:szCs w:val="32"/>
          <w:lang w:val="en-US" w:eastAsia="zh-CN"/>
        </w:rPr>
        <w:t>”</w:t>
      </w:r>
      <w:r>
        <w:rPr>
          <w:rFonts w:hint="default" w:ascii="方正楷体简体" w:hAnsi="方正楷体简体" w:eastAsia="方正楷体简体" w:cs="方正楷体简体"/>
          <w:b/>
          <w:bCs/>
          <w:sz w:val="32"/>
          <w:szCs w:val="32"/>
          <w:lang w:val="en-US" w:eastAsia="zh-CN"/>
        </w:rPr>
        <w:t>。</w:t>
      </w:r>
      <w:r>
        <w:rPr>
          <w:rFonts w:hint="default" w:ascii="Times New Roman" w:hAnsi="Times New Roman" w:eastAsia="仿宋" w:cs="Times New Roman"/>
          <w:kern w:val="2"/>
          <w:sz w:val="32"/>
          <w:szCs w:val="32"/>
          <w:lang w:val="en-US" w:eastAsia="zh-CN" w:bidi="ar-SA"/>
        </w:rPr>
        <w:t>制作推出</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团团带你来打卡</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带着青春去旅行</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等文旅视频、推文400余条次，阅读量760万、点赞量58万，原创播放量百万视频《小HUO伴 来衡阳》在第二十届中国（深圳）国际文博会滚动播放；招募青年志愿者2983名，扎实做好志愿者、讲解员分类培训工作，圆满完成旅发大会随车讲解、</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一对一</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接待、嘉宾接送站、酒店服务、开幕式及配套活动服务等会务接待重点任务，获评承办第三届湖南旅游发展大会先进集体</w:t>
      </w:r>
      <w:r>
        <w:rPr>
          <w:rFonts w:hint="eastAsia" w:ascii="Times New Roman" w:hAnsi="Times New Roman" w:eastAsia="仿宋" w:cs="Times New Roman"/>
          <w:kern w:val="2"/>
          <w:sz w:val="32"/>
          <w:szCs w:val="32"/>
          <w:lang w:val="en-US" w:eastAsia="zh-CN" w:bidi="ar-SA"/>
        </w:rPr>
        <w:t>。</w:t>
      </w:r>
      <w:r>
        <w:rPr>
          <w:rFonts w:hint="default" w:ascii="方正楷体简体" w:hAnsi="方正楷体简体" w:eastAsia="方正楷体简体" w:cs="方正楷体简体"/>
          <w:b/>
          <w:bCs/>
          <w:sz w:val="32"/>
          <w:szCs w:val="32"/>
          <w:lang w:val="en-US" w:eastAsia="zh-CN"/>
        </w:rPr>
        <w:t>三是助力乡村振兴。</w:t>
      </w:r>
      <w:r>
        <w:rPr>
          <w:rFonts w:hint="default" w:ascii="Times New Roman" w:hAnsi="Times New Roman" w:eastAsia="仿宋" w:cs="Times New Roman"/>
          <w:kern w:val="2"/>
          <w:sz w:val="32"/>
          <w:szCs w:val="32"/>
          <w:lang w:val="en-US" w:eastAsia="zh-CN" w:bidi="ar-SA"/>
        </w:rPr>
        <w:t>推动浩德盛农业、创研网络科技等8个企业结对帮扶村发展村集体产业，提出产业定位和发展规划的意见建议20多条，其中创研网络科技结合龙池村茶叶、黄精等产品优势，发起</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我在寿岳有亩茶</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活动，助力村集体经济增收200余万元。大力实施农村青年创业致富</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领头雁</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培养计划、青年农村电商培育工程，开展</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青耘中国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直播带货活动9场，帮助脱贫地区销售农副产品56万元。开展高素质青年农民培训班8场，培训创业青年400余人，选树农村致富带头人76人。</w:t>
      </w:r>
      <w:r>
        <w:rPr>
          <w:rFonts w:hint="default" w:ascii="方正楷体简体" w:hAnsi="方正楷体简体" w:eastAsia="方正楷体简体" w:cs="方正楷体简体"/>
          <w:b/>
          <w:bCs/>
          <w:sz w:val="32"/>
          <w:szCs w:val="32"/>
          <w:lang w:val="en-US" w:eastAsia="zh-CN"/>
        </w:rPr>
        <w:t>四是助力社会稳定。</w:t>
      </w:r>
      <w:r>
        <w:rPr>
          <w:rFonts w:hint="default" w:ascii="Times New Roman" w:hAnsi="Times New Roman" w:eastAsia="仿宋" w:cs="Times New Roman"/>
          <w:kern w:val="2"/>
          <w:sz w:val="32"/>
          <w:szCs w:val="32"/>
          <w:lang w:val="en-US" w:eastAsia="zh-CN" w:bidi="ar-SA"/>
        </w:rPr>
        <w:t>动员应急管理、消防救援、水利等行业团员青年组建青年突击队、青年志愿者服务队90余支，参与险情排查、后勤保障。大力开展</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河小青</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志愿服务，举行</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世界水日</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中国水周</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示范活动，常态化开展巡河净滩、护水监督行动311次；组建</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青春环保志愿服务队</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红领巾环保志愿服务队</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，结对社区开展垃圾分类宣讲、环保监督活动240余场。圆满完成湖南非遗博览会、</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薪火湘传，强国有我</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礼赞新中国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衡阳专场、张信哲衡阳演唱会、2024衡阳马拉松等重大活动志愿服务任务12次。</w:t>
      </w:r>
    </w:p>
    <w:p>
      <w:pPr>
        <w:pStyle w:val="3"/>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 w:cs="Times New Roman"/>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w:t>
      </w:r>
      <w:r>
        <w:rPr>
          <w:rFonts w:hint="default" w:ascii="楷体" w:hAnsi="楷体" w:eastAsia="楷体" w:cs="楷体"/>
          <w:b w:val="0"/>
          <w:bCs w:val="0"/>
          <w:color w:val="auto"/>
          <w:kern w:val="2"/>
          <w:sz w:val="32"/>
          <w:szCs w:val="32"/>
          <w:lang w:val="en-US" w:eastAsia="zh-CN" w:bidi="ar-SA"/>
        </w:rPr>
        <w:t>三</w:t>
      </w:r>
      <w:r>
        <w:rPr>
          <w:rFonts w:hint="eastAsia" w:ascii="楷体" w:hAnsi="楷体" w:eastAsia="楷体" w:cs="楷体"/>
          <w:b w:val="0"/>
          <w:bCs w:val="0"/>
          <w:color w:val="auto"/>
          <w:kern w:val="2"/>
          <w:sz w:val="32"/>
          <w:szCs w:val="32"/>
          <w:lang w:val="en-US" w:eastAsia="zh-CN" w:bidi="ar-SA"/>
        </w:rPr>
        <w:t>）</w:t>
      </w:r>
      <w:r>
        <w:rPr>
          <w:rFonts w:hint="default" w:ascii="楷体" w:hAnsi="楷体" w:eastAsia="楷体" w:cs="楷体"/>
          <w:b w:val="0"/>
          <w:bCs w:val="0"/>
          <w:color w:val="auto"/>
          <w:kern w:val="2"/>
          <w:sz w:val="32"/>
          <w:szCs w:val="32"/>
          <w:lang w:val="en-US" w:eastAsia="zh-CN" w:bidi="ar-SA"/>
        </w:rPr>
        <w:t>坚持人民至上，桥梁纽带作用不断增强</w:t>
      </w:r>
      <w:r>
        <w:rPr>
          <w:rFonts w:hint="eastAsia" w:ascii="楷体" w:hAnsi="楷体" w:eastAsia="楷体" w:cs="楷体"/>
          <w:b w:val="0"/>
          <w:bCs w:val="0"/>
          <w:color w:val="auto"/>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我们始终紧扣服务青年的工作生命线，以推动《中长期青年发展规划(2016—2025年)》实施为统揽，全力推进青年发展型城市试点建设，为青少年成长创造良好环境。</w:t>
      </w:r>
      <w:r>
        <w:rPr>
          <w:rFonts w:hint="default" w:ascii="方正楷体简体" w:hAnsi="方正楷体简体" w:eastAsia="方正楷体简体" w:cs="方正楷体简体"/>
          <w:b/>
          <w:bCs/>
          <w:kern w:val="2"/>
          <w:sz w:val="32"/>
          <w:szCs w:val="32"/>
          <w:lang w:val="en-US" w:eastAsia="zh-CN" w:bidi="ar-SA"/>
        </w:rPr>
        <w:t>一是服务青年创新创业。</w:t>
      </w:r>
      <w:r>
        <w:rPr>
          <w:rFonts w:hint="default" w:ascii="Times New Roman" w:hAnsi="Times New Roman" w:eastAsia="仿宋" w:cs="Times New Roman"/>
          <w:kern w:val="2"/>
          <w:sz w:val="32"/>
          <w:szCs w:val="32"/>
          <w:lang w:val="en-US" w:eastAsia="zh-CN" w:bidi="ar-SA"/>
        </w:rPr>
        <w:t>认真落实省委关于支持大学生创业</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七个一</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部署要求，组建364人的青创导师团，联合人才办、人社局、金融机构等单位开展创新创业培训、宣讲82场，覆盖青年2万余人</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联合农业银行为创业青年量身推出授信20亿元的</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衡青贷</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联合衡阳高新控股集团共建青年创新创业孵化基地</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指导市青企协启动换届</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吸纳107个项目进入青创项目库加强跟踪培育，组织参加</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创青春</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大赛，斩获国赛金奖1个、银奖2个，为衡阳历届最佳成绩</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成功举办省大学生创业投资基金进校园衡阳专场活动，9个项目晋级，晋级数仅次于长沙。</w:t>
      </w:r>
      <w:r>
        <w:rPr>
          <w:rFonts w:hint="default" w:ascii="方正楷体简体" w:hAnsi="方正楷体简体" w:eastAsia="方正楷体简体" w:cs="方正楷体简体"/>
          <w:b/>
          <w:bCs/>
          <w:kern w:val="2"/>
          <w:sz w:val="32"/>
          <w:szCs w:val="32"/>
          <w:lang w:val="en-US" w:eastAsia="zh-CN" w:bidi="ar-SA"/>
        </w:rPr>
        <w:t>二是关心青年成长成才。</w:t>
      </w:r>
      <w:r>
        <w:rPr>
          <w:rFonts w:hint="default" w:ascii="Times New Roman" w:hAnsi="Times New Roman" w:eastAsia="仿宋" w:cs="Times New Roman"/>
          <w:kern w:val="2"/>
          <w:sz w:val="32"/>
          <w:szCs w:val="32"/>
          <w:lang w:val="en-US" w:eastAsia="zh-CN" w:bidi="ar-SA"/>
        </w:rPr>
        <w:t>开展关爱青少年身心健康</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十个一</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行动，联动公检法司、民政、教育等职能部门出台未成年人保护和预防青少年违法犯罪工作文件30余个。广泛开展防性侵、禁毒防艾、防溺水、反电诈、中高考减压等</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12355青春自护</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宣教活动520余场，服务青少年35万余人次。持续优化12355衡阳市青少年服务台功能，跟踪处理青少年心理咨询、法律援助等个案问题230余起。申报创建维护青少年权益岗国家级3个、省级5个。组织</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青春法治辅导员</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 w:eastAsia="zh-CN" w:bidi="ar-SA"/>
        </w:rPr>
        <w:t>开展普法、维权、关爱活动</w:t>
      </w:r>
      <w:r>
        <w:rPr>
          <w:rFonts w:hint="default" w:ascii="Times New Roman" w:hAnsi="Times New Roman" w:eastAsia="仿宋" w:cs="Times New Roman"/>
          <w:kern w:val="2"/>
          <w:sz w:val="32"/>
          <w:szCs w:val="32"/>
          <w:lang w:val="en-US" w:eastAsia="zh-CN" w:bidi="ar-SA"/>
        </w:rPr>
        <w:t>，覆盖青少年1.2万余人。组建236支返乡大学生志愿服务队开展</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七彩假期</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关爱农村留守儿童项目，覆盖50余个乡镇。市青少年宫开办普惠式培训班1285个，培训学员13892人次，荣获团省委颁发的湖南省青少年教育基地。</w:t>
      </w:r>
      <w:r>
        <w:rPr>
          <w:rFonts w:hint="default" w:ascii="方正楷体简体" w:hAnsi="方正楷体简体" w:eastAsia="方正楷体简体" w:cs="方正楷体简体"/>
          <w:b/>
          <w:bCs/>
          <w:kern w:val="2"/>
          <w:sz w:val="32"/>
          <w:szCs w:val="32"/>
          <w:lang w:val="en-US" w:eastAsia="zh-CN" w:bidi="ar-SA"/>
        </w:rPr>
        <w:t>三是解决青年急难愁盼。</w:t>
      </w:r>
      <w:r>
        <w:rPr>
          <w:rFonts w:hint="default" w:ascii="Times New Roman" w:hAnsi="Times New Roman" w:eastAsia="仿宋" w:cs="Times New Roman"/>
          <w:kern w:val="2"/>
          <w:sz w:val="32"/>
          <w:szCs w:val="32"/>
          <w:lang w:val="en-US" w:eastAsia="zh-CN" w:bidi="ar-SA"/>
        </w:rPr>
        <w:t>帮助165名2023届未就业学生成功就业；大力开展</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湘窖助学</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茅台学子</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名匠学子</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一元捐</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九九公益</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等希望工程活动，累计筹款113万元，发放助学金160万元，资助贫困学生1031名。援建青联希望小屋12所，捐助物资5万元；开展</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石榴籽一家亲</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活动，组织青联委员、企业家赴鄯善县开展民族交流，捐赠现金、物资10余万元；组织中小学与鄯善县学校结对开展主题云队课、书信手拉手，促进各民族青少年深入交往交融。</w:t>
      </w:r>
      <w:r>
        <w:rPr>
          <w:rFonts w:hint="default" w:ascii="方正楷体简体" w:hAnsi="方正楷体简体" w:eastAsia="方正楷体简体" w:cs="方正楷体简体"/>
          <w:b/>
          <w:bCs/>
          <w:kern w:val="2"/>
          <w:sz w:val="32"/>
          <w:szCs w:val="32"/>
          <w:lang w:val="en-US" w:eastAsia="zh-CN" w:bidi="ar-SA"/>
        </w:rPr>
        <w:t>四是打造青年友好环境。</w:t>
      </w:r>
      <w:r>
        <w:rPr>
          <w:rFonts w:hint="default" w:ascii="Times New Roman" w:hAnsi="Times New Roman" w:eastAsia="仿宋" w:cs="Times New Roman"/>
          <w:kern w:val="2"/>
          <w:sz w:val="32"/>
          <w:szCs w:val="32"/>
          <w:lang w:val="en-US" w:eastAsia="zh-CN" w:bidi="ar-SA"/>
        </w:rPr>
        <w:t>联合市委人才办建设衡阳首批青年人才驿站，为342人次来衡就业创业青年提供免费住宿、就业指导、城市融入等一站式服务。组织开展</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星光知己节</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等交友联谊活动16场。组织青联委员、新兴青年群体调研交流14场；深化</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共青团与人大代表、政协委员面对面</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活动，形成模拟提案1958个、优质调研报告13篇，获评全国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优秀模拟政协提案</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2个。开展政校联动文化节、红色文化沙龙、快递行业服务月</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暖蜂行动</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、校园足球大学生联赛、</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真我风采</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pk赛等活动40余场，让</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衡友好</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成为年轻人的共识。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 w:cs="Times New Roman"/>
          <w:kern w:val="2"/>
          <w:sz w:val="32"/>
          <w:szCs w:val="32"/>
          <w:lang w:val="en-US" w:eastAsia="zh-CN" w:bidi="ar-SA"/>
        </w:rPr>
      </w:pPr>
      <w:bookmarkStart w:id="0" w:name="_GoBack"/>
      <w:r>
        <w:rPr>
          <w:rFonts w:hint="eastAsia" w:ascii="楷体" w:hAnsi="楷体" w:eastAsia="楷体" w:cs="楷体"/>
          <w:b w:val="0"/>
          <w:bCs w:val="0"/>
          <w:color w:val="auto"/>
          <w:sz w:val="32"/>
          <w:szCs w:val="32"/>
          <w:lang w:val="en-US" w:eastAsia="zh-CN"/>
        </w:rPr>
        <w:t>（四）坚持全面从严，先进组织形象不断提升。</w:t>
      </w:r>
      <w:bookmarkEnd w:id="0"/>
      <w:r>
        <w:rPr>
          <w:rFonts w:hint="default" w:ascii="Times New Roman" w:hAnsi="Times New Roman" w:eastAsia="仿宋" w:cs="Times New Roman"/>
          <w:kern w:val="2"/>
          <w:sz w:val="32"/>
          <w:szCs w:val="32"/>
          <w:lang w:val="en-US" w:eastAsia="zh-CN" w:bidi="ar-SA"/>
        </w:rPr>
        <w:t>我们坚持对标全面从严治党的要求，持之以恒推进全面从严治团，衡阳共青团的战斗力、精气神不断提升。</w:t>
      </w:r>
      <w:r>
        <w:rPr>
          <w:rFonts w:hint="default" w:ascii="方正楷体简体" w:hAnsi="方正楷体简体" w:eastAsia="方正楷体简体" w:cs="方正楷体简体"/>
          <w:b/>
          <w:bCs/>
          <w:sz w:val="32"/>
          <w:szCs w:val="32"/>
          <w:lang w:val="en-US" w:eastAsia="zh-CN"/>
        </w:rPr>
        <w:t>一是着力夯实基层组织建设。</w:t>
      </w:r>
      <w:r>
        <w:rPr>
          <w:rFonts w:hint="default" w:ascii="Times New Roman" w:hAnsi="Times New Roman" w:eastAsia="仿宋" w:cs="Times New Roman"/>
          <w:kern w:val="2"/>
          <w:sz w:val="32"/>
          <w:szCs w:val="32"/>
          <w:lang w:val="en-US" w:eastAsia="zh-CN" w:bidi="ar-SA"/>
        </w:rPr>
        <w:t>大力推进</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两企三新</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团组织建设，成立电竞协会团支部，对36个团属青年社会组织进行评估提升；研究细化20412名的团员发展计划，做好3.4万余人的学社衔接工作；创新推出以</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共聚青年之家，点燃多young青春</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为主题的首届</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高新置业杯</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青年之家创新项目大赛，指导全市</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青年之家</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综合服务实体平台341家全部入驻云平台，全年开展活动7000余场次，覆盖青年15万余人；开办</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青年之家·青年夜校</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38个，累计开展非遗技艺、体育运动、摄影、书法等课程活动80余场。</w:t>
      </w:r>
      <w:r>
        <w:rPr>
          <w:rFonts w:hint="default" w:ascii="方正楷体简体" w:hAnsi="方正楷体简体" w:eastAsia="方正楷体简体" w:cs="方正楷体简体"/>
          <w:b/>
          <w:bCs/>
          <w:sz w:val="32"/>
          <w:szCs w:val="32"/>
          <w:lang w:val="en-US" w:eastAsia="zh-CN"/>
        </w:rPr>
        <w:t>二是着力抓好全团带队工作。</w:t>
      </w:r>
      <w:r>
        <w:rPr>
          <w:rFonts w:hint="default" w:ascii="Times New Roman" w:hAnsi="Times New Roman" w:eastAsia="仿宋" w:cs="Times New Roman"/>
          <w:kern w:val="2"/>
          <w:sz w:val="32"/>
          <w:szCs w:val="32"/>
          <w:lang w:val="en-US" w:eastAsia="zh-CN" w:bidi="ar-SA"/>
        </w:rPr>
        <w:t>帮助高新区阳光小学、华新小学成功申报省级少先队研究课题；组织1.8万县级少先队总辅导员和学校大中队辅导员参加全国少先队辅导员培训；成功举办衡阳市少先队辅导员专业技能大赛。</w:t>
      </w:r>
      <w:r>
        <w:rPr>
          <w:rFonts w:hint="default" w:ascii="方正楷体简体" w:hAnsi="方正楷体简体" w:eastAsia="方正楷体简体" w:cs="方正楷体简体"/>
          <w:b/>
          <w:bCs/>
          <w:sz w:val="32"/>
          <w:szCs w:val="32"/>
          <w:lang w:val="en-US" w:eastAsia="zh-CN"/>
        </w:rPr>
        <w:t>三是着力加强干部队伍建设。</w:t>
      </w:r>
      <w:r>
        <w:rPr>
          <w:rFonts w:hint="default" w:ascii="Times New Roman" w:hAnsi="Times New Roman" w:eastAsia="仿宋" w:cs="Times New Roman"/>
          <w:kern w:val="2"/>
          <w:sz w:val="32"/>
          <w:szCs w:val="32"/>
          <w:lang w:val="en-US" w:eastAsia="zh-CN" w:bidi="ar-SA"/>
        </w:rPr>
        <w:t>严格落实</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第一议题</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制度，围绕党的二十届三中全会精神等专题开展理论中心组学习12次；积极配合市委巡察工作，扎实开展党纪学习教育，召开</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好家风·好传承</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家风建设座谈会，深入萧石月故居、衡南县归园、衡阳党史馆等地开展主题党日和实践活动12次；圆满完成共青团衡阳市第二十一次代表大会各项任务</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协助调整县级团委班子33人次，指导祁东、雁峰、衡阳、衡东4个县市区完成换届选举；成功举办2024年</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青马工程</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暨团干部骨干培训班；组织开展</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进万家门、访万家情、结万家亲</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等活动，发放慰问资金及物资66.4万元，慰问1537人，让奔赴一线、奔赴基层、奔赴青年蔚然成风。</w:t>
      </w:r>
    </w:p>
    <w:p>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在完成绩效评价工作中，尽管取得了一些成绩，同时在工作中我们也遇到了一些问题。综合近几年我单位预算批复，单位日常运转所需公用经费预算不足，基本支出预算中公用经费预算较少，只能基本满足单位日常运行费用支出；部门整体支出绩效管理意识有待提高；预算控制工作有待加强，尽管其中有政策性调整和政府临时交办事务等原因追加预算，加大了预算控制工作的难度。</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50" w:lineRule="exact"/>
        <w:ind w:right="0" w:firstLine="643"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（一）强化机关干部绩效管理意识。</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加强部门整体支出绩效评价工作，提升单位全体干职工整体支出绩效管理意识，将绩效理念贯穿于预算编制与执行的全过程，强化绩效指标管理，将部门整体支出绩效评价工作落实到每一笔费用支出当中，科学合理地对财政支出进行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50" w:lineRule="exact"/>
        <w:ind w:right="0" w:firstLine="643"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（二）增强预算编制的科学性和预算管理的执行力。</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结合上年度预决算收支情况和预算年度可以预计的收支情况，科学、合理编制预算，尽可能保证预算年度内预算收支应编尽编。同时增强预算管理的执行力，杜绝预算执行和资金使用上的的随意性。</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 w:cs="Times New Roman"/>
          <w:kern w:val="2"/>
          <w:sz w:val="32"/>
          <w:szCs w:val="32"/>
          <w:lang w:val="en" w:eastAsia="zh-CN" w:bidi="ar-SA"/>
        </w:rPr>
      </w:pPr>
      <w:r>
        <w:rPr>
          <w:rFonts w:hint="default" w:ascii="Times New Roman" w:hAnsi="Times New Roman" w:eastAsia="仿宋" w:cs="Times New Roman"/>
          <w:kern w:val="2"/>
          <w:sz w:val="32"/>
          <w:szCs w:val="32"/>
          <w:lang w:val="en" w:eastAsia="zh-CN" w:bidi="ar-SA"/>
        </w:rPr>
        <w:t>无</w:t>
      </w:r>
    </w:p>
    <w:p>
      <w:pPr>
        <w:spacing w:beforeLines="50"/>
        <w:rPr>
          <w:rFonts w:hint="default" w:ascii="Times New Roman" w:hAnsi="Times New Roman" w:eastAsia="仿宋_GB2312" w:cs="Times New Roman"/>
          <w:spacing w:val="-11"/>
          <w:sz w:val="24"/>
          <w:lang w:val="en"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A5F29"/>
    <w:multiLevelType w:val="singleLevel"/>
    <w:tmpl w:val="FF9A5F29"/>
    <w:lvl w:ilvl="0" w:tentative="0">
      <w:start w:val="1"/>
      <w:numFmt w:val="chineseCounting"/>
      <w:suff w:val="nothing"/>
      <w:lvlText w:val="%1、"/>
      <w:lvlJc w:val="left"/>
      <w:rPr>
        <w:rFonts w:hint="eastAsia"/>
      </w:rPr>
    </w:lvl>
  </w:abstractNum>
  <w:abstractNum w:abstractNumId="1">
    <w:nsid w:val="FFFF6EAB"/>
    <w:multiLevelType w:val="singleLevel"/>
    <w:tmpl w:val="FFFF6EA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M0ODA5MDU3NzA0OTliNzM3NzNlM2I0OWRjMjc2ZjMifQ=="/>
  </w:docVars>
  <w:rsids>
    <w:rsidRoot w:val="00C553EF"/>
    <w:rsid w:val="00012C93"/>
    <w:rsid w:val="000734E3"/>
    <w:rsid w:val="000773D5"/>
    <w:rsid w:val="00080625"/>
    <w:rsid w:val="00082293"/>
    <w:rsid w:val="00093B9D"/>
    <w:rsid w:val="00094646"/>
    <w:rsid w:val="000A561A"/>
    <w:rsid w:val="000D5E7F"/>
    <w:rsid w:val="000E2B59"/>
    <w:rsid w:val="000E2E9C"/>
    <w:rsid w:val="000F775C"/>
    <w:rsid w:val="00135131"/>
    <w:rsid w:val="00135395"/>
    <w:rsid w:val="00173AA9"/>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709FF"/>
    <w:rsid w:val="00581EEE"/>
    <w:rsid w:val="005851E9"/>
    <w:rsid w:val="00591495"/>
    <w:rsid w:val="00594AEE"/>
    <w:rsid w:val="005D031D"/>
    <w:rsid w:val="006264B7"/>
    <w:rsid w:val="00677EDD"/>
    <w:rsid w:val="006964D9"/>
    <w:rsid w:val="006F37DA"/>
    <w:rsid w:val="007109A0"/>
    <w:rsid w:val="007123D7"/>
    <w:rsid w:val="00713B58"/>
    <w:rsid w:val="00751BF0"/>
    <w:rsid w:val="00764972"/>
    <w:rsid w:val="00771B0E"/>
    <w:rsid w:val="007A6F2C"/>
    <w:rsid w:val="007B3731"/>
    <w:rsid w:val="007C3C5A"/>
    <w:rsid w:val="007E2D1B"/>
    <w:rsid w:val="007E3E71"/>
    <w:rsid w:val="008241E1"/>
    <w:rsid w:val="00835818"/>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1721"/>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28D58A7"/>
    <w:rsid w:val="03043E77"/>
    <w:rsid w:val="07C71168"/>
    <w:rsid w:val="0F262ACD"/>
    <w:rsid w:val="15DA6FC6"/>
    <w:rsid w:val="18934E7A"/>
    <w:rsid w:val="1CDC19D3"/>
    <w:rsid w:val="1EA26CE0"/>
    <w:rsid w:val="1EE39D84"/>
    <w:rsid w:val="217D46AD"/>
    <w:rsid w:val="2CA61530"/>
    <w:rsid w:val="2E660FDE"/>
    <w:rsid w:val="398B5761"/>
    <w:rsid w:val="3A987BA2"/>
    <w:rsid w:val="3B3FDC62"/>
    <w:rsid w:val="3BFC0501"/>
    <w:rsid w:val="3F2FD4F8"/>
    <w:rsid w:val="3F52287D"/>
    <w:rsid w:val="3FDBFCF7"/>
    <w:rsid w:val="416B7C26"/>
    <w:rsid w:val="41C61B6B"/>
    <w:rsid w:val="44A75419"/>
    <w:rsid w:val="463F7230"/>
    <w:rsid w:val="4A6F6D2D"/>
    <w:rsid w:val="51B57FCC"/>
    <w:rsid w:val="5C2F64BB"/>
    <w:rsid w:val="5DDF4C4E"/>
    <w:rsid w:val="5FEBC041"/>
    <w:rsid w:val="5FFFCBC1"/>
    <w:rsid w:val="609A4BD3"/>
    <w:rsid w:val="62882016"/>
    <w:rsid w:val="62F62474"/>
    <w:rsid w:val="640815D9"/>
    <w:rsid w:val="65B31738"/>
    <w:rsid w:val="66B91727"/>
    <w:rsid w:val="69924EBF"/>
    <w:rsid w:val="6AF80B9B"/>
    <w:rsid w:val="6BAD2A66"/>
    <w:rsid w:val="6CDE3E9F"/>
    <w:rsid w:val="6EF74444"/>
    <w:rsid w:val="71125845"/>
    <w:rsid w:val="73AF1F50"/>
    <w:rsid w:val="73F774D8"/>
    <w:rsid w:val="773A3B3B"/>
    <w:rsid w:val="77A24B7F"/>
    <w:rsid w:val="79A2386E"/>
    <w:rsid w:val="79BF6077"/>
    <w:rsid w:val="7CB55DBF"/>
    <w:rsid w:val="7DF100E8"/>
    <w:rsid w:val="7F20194F"/>
    <w:rsid w:val="7F4A2182"/>
    <w:rsid w:val="7F531EB8"/>
    <w:rsid w:val="7F910F92"/>
    <w:rsid w:val="7FDF5BF5"/>
    <w:rsid w:val="7FF24C76"/>
    <w:rsid w:val="9C3D7468"/>
    <w:rsid w:val="A1FFBB21"/>
    <w:rsid w:val="A7FF923F"/>
    <w:rsid w:val="B57E58B6"/>
    <w:rsid w:val="B6F15FC1"/>
    <w:rsid w:val="CBEFAA3C"/>
    <w:rsid w:val="CF3BBFD2"/>
    <w:rsid w:val="CFFD9DE3"/>
    <w:rsid w:val="DBFF33FB"/>
    <w:rsid w:val="DD35732F"/>
    <w:rsid w:val="DF37A7C2"/>
    <w:rsid w:val="DF9829B6"/>
    <w:rsid w:val="DFFB09E6"/>
    <w:rsid w:val="E7AFC5A9"/>
    <w:rsid w:val="E8F440BC"/>
    <w:rsid w:val="EF1BDE0A"/>
    <w:rsid w:val="EF82C07F"/>
    <w:rsid w:val="F0FB4096"/>
    <w:rsid w:val="F2FFACC0"/>
    <w:rsid w:val="F3FB376D"/>
    <w:rsid w:val="F7FEBCD0"/>
    <w:rsid w:val="FA77E5E7"/>
    <w:rsid w:val="FB7BFD90"/>
    <w:rsid w:val="FF654A8D"/>
    <w:rsid w:val="FFBF6657"/>
    <w:rsid w:val="FFEF2E7C"/>
    <w:rsid w:val="FFFD5BB0"/>
    <w:rsid w:val="FFFE1E5C"/>
    <w:rsid w:val="FFFF493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ind w:left="1440" w:leftChars="700" w:right="1440" w:rightChars="700"/>
    </w:pPr>
    <w:rPr>
      <w:szCs w:val="24"/>
    </w:r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annotation text"/>
    <w:basedOn w:val="1"/>
    <w:link w:val="18"/>
    <w:qFormat/>
    <w:uiPriority w:val="99"/>
    <w:pPr>
      <w:jc w:val="left"/>
    </w:pPr>
    <w:rPr>
      <w:rFonts w:ascii="Times New Roman" w:hAnsi="Times New Roman"/>
      <w:szCs w:val="24"/>
    </w:rPr>
  </w:style>
  <w:style w:type="paragraph" w:styleId="5">
    <w:name w:val="Body Text"/>
    <w:basedOn w:val="1"/>
    <w:next w:val="1"/>
    <w:qFormat/>
    <w:uiPriority w:val="0"/>
    <w:pPr>
      <w:spacing w:after="120" w:afterLines="0" w:afterAutospacing="0"/>
    </w:pPr>
  </w:style>
  <w:style w:type="paragraph" w:styleId="6">
    <w:name w:val="Balloon Text"/>
    <w:basedOn w:val="1"/>
    <w:link w:val="19"/>
    <w:qFormat/>
    <w:uiPriority w:val="99"/>
    <w:rPr>
      <w:rFonts w:ascii="Times New Roman" w:hAnsi="Times New Roman"/>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5"/>
    <w:qFormat/>
    <w:uiPriority w:val="0"/>
    <w:pPr>
      <w:ind w:firstLine="420" w:firstLineChars="100"/>
    </w:pPr>
  </w:style>
  <w:style w:type="character" w:styleId="14">
    <w:name w:val="page number"/>
    <w:basedOn w:val="13"/>
    <w:qFormat/>
    <w:uiPriority w:val="99"/>
    <w:rPr>
      <w:rFonts w:cs="Times New Roman"/>
    </w:rPr>
  </w:style>
  <w:style w:type="character" w:styleId="15">
    <w:name w:val="annotation reference"/>
    <w:basedOn w:val="13"/>
    <w:qFormat/>
    <w:uiPriority w:val="99"/>
    <w:rPr>
      <w:rFonts w:cs="Times New Roman"/>
      <w:sz w:val="21"/>
      <w:szCs w:val="21"/>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customStyle="1" w:styleId="17">
    <w:name w:val="Default"/>
    <w:qFormat/>
    <w:uiPriority w:val="0"/>
    <w:pPr>
      <w:widowControl w:val="0"/>
      <w:autoSpaceDE w:val="0"/>
      <w:autoSpaceDN w:val="0"/>
    </w:pPr>
    <w:rPr>
      <w:rFonts w:ascii="宋体" w:hAnsi="Times New Roman" w:eastAsia="宋体" w:cs="Times New Roman"/>
      <w:color w:val="000000"/>
      <w:sz w:val="24"/>
      <w:szCs w:val="22"/>
      <w:lang w:val="en-US" w:eastAsia="zh-CN" w:bidi="ar-SA"/>
    </w:rPr>
  </w:style>
  <w:style w:type="character" w:customStyle="1" w:styleId="18">
    <w:name w:val="批注文字 Char"/>
    <w:basedOn w:val="13"/>
    <w:link w:val="4"/>
    <w:qFormat/>
    <w:locked/>
    <w:uiPriority w:val="99"/>
    <w:rPr>
      <w:rFonts w:ascii="Times New Roman" w:hAnsi="Times New Roman" w:eastAsia="宋体" w:cs="Times New Roman"/>
      <w:sz w:val="24"/>
      <w:szCs w:val="24"/>
    </w:rPr>
  </w:style>
  <w:style w:type="character" w:customStyle="1" w:styleId="19">
    <w:name w:val="批注框文本 Char"/>
    <w:basedOn w:val="13"/>
    <w:link w:val="6"/>
    <w:qFormat/>
    <w:locked/>
    <w:uiPriority w:val="99"/>
    <w:rPr>
      <w:rFonts w:ascii="Times New Roman" w:hAnsi="Times New Roman" w:eastAsia="宋体" w:cs="Times New Roman"/>
      <w:sz w:val="18"/>
      <w:szCs w:val="18"/>
    </w:rPr>
  </w:style>
  <w:style w:type="character" w:customStyle="1" w:styleId="20">
    <w:name w:val="页脚 Char"/>
    <w:basedOn w:val="13"/>
    <w:link w:val="7"/>
    <w:qFormat/>
    <w:locked/>
    <w:uiPriority w:val="99"/>
    <w:rPr>
      <w:rFonts w:cs="Times New Roman"/>
      <w:sz w:val="18"/>
      <w:szCs w:val="18"/>
    </w:rPr>
  </w:style>
  <w:style w:type="character" w:customStyle="1" w:styleId="21">
    <w:name w:val="页眉 Char"/>
    <w:basedOn w:val="13"/>
    <w:link w:val="8"/>
    <w:qFormat/>
    <w:locked/>
    <w:uiPriority w:val="99"/>
    <w:rPr>
      <w:rFonts w:cs="Times New Roman"/>
      <w:sz w:val="18"/>
      <w:szCs w:val="18"/>
    </w:rPr>
  </w:style>
  <w:style w:type="paragraph" w:styleId="22">
    <w:name w:val="List Paragraph"/>
    <w:basedOn w:val="1"/>
    <w:qFormat/>
    <w:uiPriority w:val="99"/>
    <w:pPr>
      <w:ind w:firstLine="420" w:firstLineChars="200"/>
    </w:pPr>
    <w:rPr>
      <w:rFonts w:ascii="Times New Roman" w:hAnsi="Times New Roman"/>
      <w:szCs w:val="24"/>
    </w:rPr>
  </w:style>
  <w:style w:type="paragraph" w:customStyle="1" w:styleId="23">
    <w:name w:val="修订1"/>
    <w:hidden/>
    <w:qFormat/>
    <w:uiPriority w:val="99"/>
    <w:rPr>
      <w:rFonts w:ascii="Times New Roman" w:hAnsi="Times New Roman" w:eastAsia="宋体" w:cs="Times New Roman"/>
      <w:kern w:val="2"/>
      <w:sz w:val="21"/>
      <w:szCs w:val="24"/>
      <w:lang w:val="en-US" w:eastAsia="zh-CN" w:bidi="ar-SA"/>
    </w:rPr>
  </w:style>
  <w:style w:type="character" w:customStyle="1" w:styleId="24">
    <w:name w:val="font21"/>
    <w:basedOn w:val="13"/>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4024</Words>
  <Characters>4260</Characters>
  <Lines>36</Lines>
  <Paragraphs>10</Paragraphs>
  <TotalTime>23</TotalTime>
  <ScaleCrop>false</ScaleCrop>
  <LinksUpToDate>false</LinksUpToDate>
  <CharactersWithSpaces>4816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2021-01-27T07:42:00Z</dcterms:created>
  <dc:creator>lenovo</dc:creator>
  <cp:lastModifiedBy>Administrator</cp:lastModifiedBy>
  <cp:lastPrinted>2023-04-19T00:49:00Z</cp:lastPrinted>
  <dcterms:modified xsi:type="dcterms:W3CDTF">2025-09-30T01:12:08Z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05A3344A75BF4096A4DCE5DEC370004C</vt:lpwstr>
  </property>
</Properties>
</file>